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编号：JSZC-321000-HCZX-G2025-0097</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扬州市中医院新院区保安服务项目</w:t>
      </w:r>
      <w:r/>
    </w:p>
    <w:p>
      <w:pPr>
        <w:jc w:val="center"/>
        <w:spacing w:line="360" w:lineRule="auto"/>
        <w:rPr>
          <w:rFonts w:ascii="宋体" w:hAnsi="宋体"/>
          <w:sz w:val="36"/>
        </w:rPr>
      </w:pP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cs="宋体"/>
          <w:sz w:val="36"/>
        </w:rPr>
        <mc:AlternateContent>
          <mc:Choice Requires="wpg">
            <w:drawing>
              <wp:inline xmlns:wp="http://schemas.openxmlformats.org/drawingml/2006/wordprocessingDrawing" distT="0" distB="0" distL="0" distR="0">
                <wp:extent cx="5274310" cy="3152140"/>
                <wp:effectExtent l="19050" t="0" r="2540" b="0"/>
                <wp:docPr id="2" name="图片 1" descr="微信图片_20250212083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微信图片_20250212083141.jpg"/>
                        <pic:cNvPicPr>
                          <a:picLocks noChangeAspect="1"/>
                        </pic:cNvPicPr>
                        <pic:nvPr/>
                      </pic:nvPicPr>
                      <pic:blipFill>
                        <a:blip r:embed="rId16"/>
                        <a:stretch/>
                      </pic:blipFill>
                      <pic:spPr bwMode="auto">
                        <a:xfrm>
                          <a:off x="0" y="0"/>
                          <a:ext cx="5274310" cy="31521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48.2pt;mso-wrap-distance-left:0.0pt;mso-wrap-distance-top:0.0pt;mso-wrap-distance-right:0.0pt;mso-wrap-distance-bottom:0.0pt;" stroked="false">
                <v:path textboxrect="0,0,0,0"/>
                <v:imagedata r:id="rId16" o:title=""/>
              </v:shape>
            </w:pict>
          </mc:Fallback>
        </mc:AlternateContent>
      </w:r>
      <w:r/>
    </w:p>
    <w:p>
      <w:r/>
      <w:r/>
    </w:p>
    <w:p>
      <w:r/>
      <w:r/>
    </w:p>
    <w:p>
      <w:r/>
      <w:r/>
    </w:p>
    <w:p>
      <w:r/>
      <w:r/>
    </w:p>
    <w:p>
      <w:pPr>
        <w:pStyle w:val="750"/>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2025年11月</w:t>
      </w:r>
      <w:r>
        <w:rPr>
          <w:rFonts w:hint="eastAsia" w:ascii="宋体" w:hAnsi="宋体"/>
          <w:sz w:val="36"/>
        </w:rPr>
        <w:t xml:space="preserve">1</w:t>
      </w:r>
      <w:r>
        <w:rPr>
          <w:rFonts w:hint="eastAsia" w:ascii="宋体" w:hAnsi="宋体"/>
          <w:sz w:val="36"/>
        </w:rPr>
        <w:t xml:space="preserve">2</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762"/>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扬州市中医院新院区保安服务项目公开招标公告</w:t>
      </w:r>
      <w:r>
        <w:tab/>
      </w:r>
      <w:r>
        <w:fldChar w:fldCharType="begin"/>
      </w:r>
      <w:r>
        <w:instrText xml:space="preserve"> PAGEREF _Toc191970189 \h </w:instrText>
      </w:r>
      <w:r>
        <w:fldChar w:fldCharType="separate"/>
      </w:r>
      <w:r>
        <w:t xml:space="preserve">3</w:t>
      </w:r>
      <w:r>
        <w:fldChar w:fldCharType="end"/>
      </w:r>
      <w:r/>
    </w:p>
    <w:p>
      <w:pPr>
        <w:pStyle w:val="762"/>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rPr>
          <w:rFonts w:hint="eastAsia"/>
        </w:rPr>
        <w:t xml:space="preserve">7</w:t>
      </w:r>
      <w:r/>
    </w:p>
    <w:p>
      <w:pPr>
        <w:pStyle w:val="762"/>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rPr>
          <w:rFonts w:hint="eastAsia"/>
        </w:rPr>
        <w:t xml:space="preserve">19</w:t>
      </w:r>
      <w:r/>
    </w:p>
    <w:p>
      <w:pPr>
        <w:pStyle w:val="762"/>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23</w:t>
      </w:r>
      <w:r>
        <w:fldChar w:fldCharType="end"/>
      </w:r>
      <w:r/>
    </w:p>
    <w:p>
      <w:pPr>
        <w:pStyle w:val="762"/>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64</w:t>
      </w:r>
      <w:r/>
    </w:p>
    <w:p>
      <w:pPr>
        <w:pStyle w:val="762"/>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69</w:t>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43"/>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扬州市中医院新院区保安服务项目公开招标公告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受扬州市中医院的委托，江苏汇诚投资咨询管理有限公司就扬州市中医院新院区保安服务项目进行公开招标采购，欢迎符合条件的供应商投标。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扬州市中医院新院区保安服务项目</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highlight w:val="yellow"/>
          <w:u w:val="single"/>
        </w:rPr>
        <w:t xml:space="preserve">202</w:t>
      </w:r>
      <w:r>
        <w:rPr>
          <w:rFonts w:hint="eastAsia" w:ascii="宋体" w:hAnsi="宋体" w:cs="宋体"/>
          <w:bCs/>
          <w:highlight w:val="yellow"/>
          <w:u w:val="single"/>
        </w:rPr>
        <w:t xml:space="preserve">5</w:t>
      </w:r>
      <w:r>
        <w:rPr>
          <w:rFonts w:ascii="宋体" w:hAnsi="宋体" w:cs="宋体"/>
          <w:bCs/>
          <w:highlight w:val="yellow"/>
          <w:u w:val="single"/>
        </w:rPr>
        <w:t xml:space="preserve">年</w:t>
      </w:r>
      <w:r>
        <w:rPr>
          <w:rFonts w:hint="eastAsia" w:ascii="宋体" w:hAnsi="宋体" w:cs="宋体"/>
          <w:bCs/>
          <w:highlight w:val="yellow"/>
          <w:u w:val="single"/>
        </w:rPr>
        <w:t xml:space="preserve">1</w:t>
      </w:r>
      <w:r>
        <w:rPr>
          <w:rFonts w:hint="eastAsia" w:ascii="宋体" w:hAnsi="宋体" w:cs="宋体"/>
          <w:bCs/>
          <w:highlight w:val="yellow"/>
          <w:u w:val="single"/>
        </w:rPr>
        <w:t xml:space="preserve">2</w:t>
      </w:r>
      <w:r>
        <w:rPr>
          <w:rFonts w:hint="eastAsia" w:ascii="宋体" w:hAnsi="宋体" w:cs="宋体"/>
          <w:bCs/>
          <w:highlight w:val="yellow"/>
          <w:u w:val="single"/>
        </w:rPr>
        <w:t xml:space="preserve">月</w:t>
      </w:r>
      <w:r>
        <w:rPr>
          <w:rFonts w:hint="eastAsia" w:ascii="宋体" w:hAnsi="宋体" w:cs="宋体"/>
          <w:bCs/>
          <w:highlight w:val="yellow"/>
          <w:u w:val="single"/>
        </w:rPr>
        <w:t xml:space="preserve">5</w:t>
      </w:r>
      <w:r>
        <w:rPr>
          <w:rFonts w:hint="eastAsia" w:ascii="宋体" w:hAnsi="宋体" w:cs="宋体"/>
          <w:bCs/>
          <w:highlight w:val="yellow"/>
          <w:u w:val="single"/>
        </w:rPr>
        <w:t xml:space="preserve">日</w:t>
      </w:r>
      <w:r>
        <w:rPr>
          <w:rFonts w:hint="eastAsia" w:ascii="宋体" w:hAnsi="宋体" w:cs="宋体"/>
          <w:bCs/>
          <w:highlight w:val="yellow"/>
          <w:u w:val="single"/>
        </w:rPr>
        <w:t xml:space="preserve">14</w:t>
      </w:r>
      <w:r>
        <w:rPr>
          <w:rFonts w:ascii="宋体" w:hAnsi="宋体" w:cs="宋体"/>
          <w:bCs/>
          <w:highlight w:val="yellow"/>
          <w:u w:val="single"/>
        </w:rPr>
        <w:t xml:space="preserve">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35393621"/>
      <w:r/>
      <w:bookmarkStart w:id="4" w:name="_Toc28359079"/>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1.项目编号：JSZC-321000-HCZX-G2025-0097</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扬州市中医院新院区保安服务项目</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szCs w:val="21"/>
        </w:rPr>
        <w:t xml:space="preserve">233万元</w:t>
      </w:r>
      <w:r>
        <w:rPr>
          <w:rFonts w:hint="eastAsia" w:ascii="宋体" w:hAnsi="宋体" w:cs="宋体"/>
          <w:szCs w:val="21"/>
          <w:highlight w:val="yellow"/>
        </w:rPr>
        <w:t xml:space="preserve">（2026年预算100万元，</w:t>
      </w:r>
      <w:r>
        <w:rPr>
          <w:rFonts w:hint="eastAsia" w:ascii="宋体" w:hAnsi="宋体" w:cs="宋体"/>
          <w:szCs w:val="21"/>
          <w:highlight w:val="yellow"/>
        </w:rPr>
        <w:t xml:space="preserve">新院区2026年逐步开放，人员根据招标人实际需求调配；</w:t>
      </w:r>
      <w:r>
        <w:rPr>
          <w:rFonts w:hint="eastAsia" w:ascii="宋体" w:hAnsi="宋体" w:cs="宋体"/>
          <w:szCs w:val="21"/>
          <w:highlight w:val="yellow"/>
        </w:rPr>
        <w:t xml:space="preserve">2027年预算133万元</w:t>
      </w:r>
      <w:r>
        <w:rPr>
          <w:rFonts w:hint="eastAsia" w:ascii="宋体" w:hAnsi="宋体" w:cs="宋体"/>
          <w:szCs w:val="21"/>
          <w:highlight w:val="yellow"/>
        </w:rPr>
        <w:t xml:space="preserve">，计划2027年完全投入使用，所有岗位按需求配备人员。</w:t>
      </w:r>
      <w:r>
        <w:rPr>
          <w:rFonts w:hint="eastAsia" w:ascii="宋体" w:hAnsi="宋体" w:cs="宋体"/>
          <w:szCs w:val="21"/>
          <w:highlight w:val="yellow"/>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szCs w:val="21"/>
        </w:rPr>
        <w:t xml:space="preserve">最高限价：</w:t>
      </w:r>
      <w:r>
        <w:rPr>
          <w:rFonts w:hint="eastAsia" w:ascii="宋体" w:hAnsi="宋体" w:cs="仿宋"/>
          <w:szCs w:val="21"/>
        </w:rPr>
        <w:t xml:space="preserve">133</w:t>
      </w:r>
      <w:r>
        <w:rPr>
          <w:rFonts w:hint="eastAsia" w:ascii="宋体" w:hAnsi="宋体" w:cs="宋体"/>
          <w:szCs w:val="21"/>
        </w:rPr>
        <w:t xml:space="preserve">万元</w:t>
      </w:r>
      <w:r>
        <w:rPr>
          <w:rFonts w:hint="eastAsia" w:ascii="宋体" w:hAnsi="宋体" w:cs="宋体"/>
          <w:szCs w:val="21"/>
          <w:highlight w:val="yellow"/>
        </w:rPr>
        <w:t xml:space="preserve">（</w:t>
      </w:r>
      <w:r>
        <w:rPr>
          <w:rFonts w:hint="eastAsia" w:ascii="宋体" w:hAnsi="宋体" w:cs="宋体"/>
          <w:szCs w:val="21"/>
          <w:highlight w:val="yellow"/>
        </w:rPr>
        <w:t xml:space="preserve">报价以1年期，人员投入满足项目</w:t>
      </w:r>
      <w:r>
        <w:rPr>
          <w:rFonts w:hint="eastAsia" w:ascii="宋体" w:hAnsi="宋体" w:cs="宋体"/>
          <w:szCs w:val="21"/>
          <w:highlight w:val="yellow"/>
        </w:rPr>
        <w:t xml:space="preserve">需求</w:t>
      </w:r>
      <w:r>
        <w:rPr>
          <w:rFonts w:hint="eastAsia" w:ascii="宋体" w:hAnsi="宋体" w:cs="宋体"/>
          <w:szCs w:val="21"/>
          <w:highlight w:val="yellow"/>
        </w:rPr>
        <w:t xml:space="preserve">的情形报价</w:t>
      </w:r>
      <w:r>
        <w:rPr>
          <w:rFonts w:hint="eastAsia" w:ascii="宋体" w:hAnsi="宋体" w:cs="宋体"/>
          <w:szCs w:val="21"/>
          <w:highlight w:val="yellow"/>
        </w:rPr>
        <w:t xml:space="preserve">，按实结算</w:t>
      </w:r>
      <w:r>
        <w:rPr>
          <w:rFonts w:hint="eastAsia" w:ascii="宋体" w:hAnsi="宋体" w:cs="宋体"/>
          <w:szCs w:val="21"/>
          <w:highlight w:val="yellow"/>
        </w:rPr>
        <w:t xml:space="preserve">）</w:t>
      </w:r>
      <w:r>
        <w:rPr>
          <w:rFonts w:hint="eastAsia" w:ascii="宋体" w:hAnsi="宋体" w:cs="宋体"/>
          <w:szCs w:val="21"/>
        </w:rPr>
        <w:t xml:space="preserve">，投标报价不得高于最高限价，否则作废标处理</w:t>
      </w:r>
      <w:r>
        <w:rPr>
          <w:rFonts w:hint="eastAsia" w:ascii="宋体" w:hAnsi="宋体" w:cs="宋体"/>
        </w:rPr>
        <w:t xml:space="preserve">。</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6.合同履行期限：具体详见招标文件第四章。</w:t>
      </w:r>
      <w:r>
        <w:rPr>
          <w:rFonts w:hint="eastAsia" w:ascii="宋体" w:hAnsi="宋体" w:cs="宋体"/>
          <w:szCs w:val="21"/>
          <w:highlight w:val="yellow"/>
        </w:rPr>
        <w:t xml:space="preserve">（</w:t>
      </w:r>
      <w:r>
        <w:rPr>
          <w:rFonts w:hint="eastAsia" w:ascii="宋体" w:hAnsi="宋体" w:cs="仿宋"/>
          <w:szCs w:val="21"/>
          <w:highlight w:val="yellow"/>
        </w:rPr>
        <w:t xml:space="preserve">本项目合同首签壹年，考核合格的情况下，采购人与成交人可签订下一年合同。</w:t>
      </w:r>
      <w:r>
        <w:rPr>
          <w:rFonts w:hint="eastAsia" w:ascii="宋体" w:hAnsi="宋体" w:cs="宋体"/>
          <w:szCs w:val="21"/>
          <w:highlight w:val="yellow"/>
        </w:rPr>
        <w:t xml:space="preserve">）</w:t>
      </w:r>
      <w:r/>
    </w:p>
    <w:p>
      <w:pPr>
        <w:ind w:firstLine="420"/>
        <w:spacing w:line="360" w:lineRule="auto"/>
        <w:rPr>
          <w:rFonts w:ascii="宋体" w:hAnsi="宋体" w:cs="宋体"/>
        </w:rPr>
      </w:pPr>
      <w:r/>
      <w:bookmarkStart w:id="8" w:name="_Toc28359080"/>
      <w:r/>
      <w:bookmarkStart w:id="9" w:name="_Toc38985264"/>
      <w:r/>
      <w:bookmarkStart w:id="10" w:name="_Toc28359003"/>
      <w:r/>
      <w:bookmarkStart w:id="11" w:name="_Toc35393622"/>
      <w:r/>
      <w:bookmarkStart w:id="12"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8985265"/>
      <w:r/>
      <w:bookmarkStart w:id="14" w:name="_Toc35393623"/>
      <w:r/>
      <w:bookmarkStart w:id="15" w:name="_Toc28359004"/>
      <w:r/>
      <w:bookmarkStart w:id="16" w:name="_Toc35393792"/>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w:t>
      </w:r>
      <w:r>
        <w:rPr>
          <w:rFonts w:hint="eastAsia" w:ascii="宋体" w:hAnsi="宋体" w:cs="宋体"/>
          <w:b/>
          <w:bCs/>
          <w:i/>
          <w:iCs/>
          <w:szCs w:val="21"/>
          <w:u w:val="single"/>
        </w:rPr>
        <w:t xml:space="preserve">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440" w:lineRule="exact"/>
        <w:rPr>
          <w:rFonts w:ascii="宋体" w:hAnsi="宋体" w:cs="宋体"/>
          <w:szCs w:val="21"/>
        </w:rPr>
      </w:pPr>
      <w:r>
        <w:rPr>
          <w:rFonts w:hint="eastAsia" w:ascii="宋体" w:hAnsi="宋体" w:cs="宋体"/>
          <w:i/>
          <w:iCs/>
          <w:szCs w:val="21"/>
          <w:u w:val="single"/>
        </w:rPr>
        <w:t xml:space="preserve">注：本项目（中小企业划分标准</w:t>
      </w:r>
      <w:r>
        <w:rPr>
          <w:rFonts w:ascii="宋体" w:hAnsi="宋体" w:cs="宋体"/>
          <w:i/>
          <w:iCs/>
          <w:szCs w:val="21"/>
          <w:u w:val="single"/>
        </w:rPr>
        <w:t xml:space="preserve">参照《关于印发中小企业划型标准规定的通知》（工信部联企[2011]300</w:t>
      </w:r>
      <w:r>
        <w:rPr>
          <w:rFonts w:hint="eastAsia" w:ascii="宋体" w:hAnsi="宋体" w:cs="宋体"/>
          <w:i/>
          <w:iCs/>
          <w:szCs w:val="21"/>
          <w:u w:val="single"/>
        </w:rPr>
        <w:t xml:space="preserve">号）中（三）条：租赁和商业服务业</w:t>
      </w:r>
      <w:r/>
    </w:p>
    <w:p>
      <w:pPr>
        <w:ind w:firstLine="420"/>
        <w:spacing w:line="440" w:lineRule="exact"/>
        <w:rPr>
          <w:rFonts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供应商应具有《保安服务许可证》或《保安从业单位备案管理证》。</w:t>
      </w:r>
      <w:r>
        <w:rPr>
          <w:rFonts w:hint="eastAsia" w:ascii="宋体" w:hAnsi="宋体"/>
          <w:i/>
          <w:iCs/>
          <w:szCs w:val="21"/>
          <w:u w:val="single"/>
        </w:rPr>
        <w:t xml:space="preserve">(原件扫描上传)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5393793"/>
      <w:r/>
      <w:bookmarkStart w:id="22" w:name="_Toc38985266"/>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w:t>
      </w:r>
      <w:r>
        <w:rPr>
          <w:rFonts w:hint="eastAsia" w:ascii="宋体" w:hAnsi="宋体" w:cs="宋体"/>
          <w:b/>
          <w:bCs/>
        </w:rPr>
        <w:t xml:space="preserve">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highlight w:val="yellow"/>
          <w:u w:val="single"/>
        </w:rPr>
        <w:t xml:space="preserve">2025年1</w:t>
      </w:r>
      <w:r>
        <w:rPr>
          <w:rFonts w:hint="eastAsia" w:ascii="宋体" w:hAnsi="宋体" w:cs="宋体"/>
          <w:bCs/>
          <w:highlight w:val="yellow"/>
          <w:u w:val="single"/>
        </w:rPr>
        <w:t xml:space="preserve">2</w:t>
      </w:r>
      <w:r>
        <w:rPr>
          <w:rFonts w:hint="eastAsia" w:ascii="宋体" w:hAnsi="宋体" w:cs="宋体"/>
          <w:bCs/>
          <w:highlight w:val="yellow"/>
          <w:u w:val="single"/>
        </w:rPr>
        <w:t xml:space="preserve">月</w:t>
      </w:r>
      <w:r>
        <w:rPr>
          <w:rFonts w:hint="eastAsia" w:ascii="宋体" w:hAnsi="宋体" w:cs="宋体"/>
          <w:bCs/>
          <w:highlight w:val="yellow"/>
          <w:u w:val="single"/>
        </w:rPr>
        <w:t xml:space="preserve">5</w:t>
      </w:r>
      <w:r>
        <w:rPr>
          <w:rFonts w:hint="eastAsia" w:ascii="宋体" w:hAnsi="宋体" w:cs="宋体"/>
          <w:bCs/>
          <w:highlight w:val="yellow"/>
          <w:u w:val="single"/>
        </w:rPr>
        <w:t xml:space="preserve">日</w:t>
      </w:r>
      <w:r>
        <w:rPr>
          <w:rFonts w:hint="eastAsia" w:ascii="宋体" w:hAnsi="宋体" w:cs="宋体"/>
          <w:bCs/>
          <w:highlight w:val="yellow"/>
          <w:u w:val="single"/>
        </w:rPr>
        <w:t xml:space="preserve">14</w:t>
      </w:r>
      <w:r>
        <w:rPr>
          <w:rFonts w:hint="eastAsia" w:ascii="宋体" w:hAnsi="宋体" w:cs="宋体"/>
          <w:bCs/>
          <w:highlight w:val="yellow"/>
          <w:u w:val="single"/>
        </w:rPr>
        <w:t xml:space="preserve">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28359084"/>
      <w:r/>
      <w:bookmarkStart w:id="24" w:name="_Toc28359007"/>
      <w:r/>
      <w:bookmarkStart w:id="25" w:name="_Toc38985267"/>
      <w:r/>
      <w:bookmarkStart w:id="26" w:name="_Toc35393625"/>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0"/>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8985269"/>
      <w:r/>
      <w:bookmarkStart w:id="32" w:name="_Toc28359085"/>
      <w:r/>
      <w:bookmarkStart w:id="33" w:name="_Toc35393796"/>
      <w:r/>
      <w:bookmarkStart w:id="34" w:name="_Toc28359008"/>
      <w:r/>
      <w:bookmarkStart w:id="35" w:name="_Toc35393627"/>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left="420"/>
        <w:spacing w:line="360" w:lineRule="auto"/>
        <w:rPr>
          <w:rFonts w:ascii="宋体" w:hAnsi="宋体" w:cs="宋体"/>
          <w:szCs w:val="21"/>
        </w:rPr>
      </w:pPr>
      <w:r/>
      <w:bookmarkStart w:id="36" w:name="_Toc28359010"/>
      <w:r/>
      <w:bookmarkStart w:id="37" w:name="_Toc28359087"/>
      <w:r>
        <w:rPr>
          <w:rFonts w:hint="eastAsia" w:ascii="宋体" w:hAnsi="宋体" w:cs="宋体"/>
          <w:szCs w:val="21"/>
        </w:rPr>
        <w:t xml:space="preserve">名    称：扬州市中医院</w:t>
      </w:r>
      <w:r/>
    </w:p>
    <w:p>
      <w:pPr>
        <w:ind w:left="420"/>
        <w:jc w:val="left"/>
        <w:spacing w:line="360" w:lineRule="auto"/>
        <w:rPr>
          <w:rFonts w:ascii="宋体" w:hAnsi="宋体" w:cs="宋体"/>
          <w:u w:val="single"/>
        </w:rPr>
      </w:pPr>
      <w:r>
        <w:rPr>
          <w:rFonts w:hint="eastAsia" w:ascii="宋体" w:hAnsi="宋体" w:cs="宋体"/>
        </w:rPr>
        <w:t xml:space="preserve">地    址：扬州市邗江区文昌中路577号</w:t>
      </w:r>
      <w:r/>
    </w:p>
    <w:p>
      <w:pPr>
        <w:ind w:left="420"/>
        <w:jc w:val="left"/>
        <w:spacing w:line="360" w:lineRule="auto"/>
        <w:rPr>
          <w:rFonts w:ascii="宋体" w:hAnsi="宋体" w:cs="宋体"/>
          <w:szCs w:val="21"/>
          <w:u w:val="single"/>
        </w:rPr>
      </w:pPr>
      <w:r>
        <w:rPr>
          <w:rFonts w:hint="eastAsia" w:ascii="宋体" w:hAnsi="宋体" w:cs="宋体"/>
          <w:szCs w:val="21"/>
        </w:rPr>
        <w:t xml:space="preserve">联 系 人：王老师</w:t>
      </w:r>
      <w:r/>
    </w:p>
    <w:p>
      <w:pPr>
        <w:ind w:left="420"/>
        <w:jc w:val="left"/>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rPr>
        <w:t xml:space="preserve">0514-87326203</w:t>
      </w:r>
      <w:r/>
    </w:p>
    <w:p>
      <w:pPr>
        <w:ind w:left="420"/>
        <w:jc w:val="left"/>
        <w:spacing w:line="360" w:lineRule="auto"/>
        <w:rPr>
          <w:rFonts w:ascii="宋体" w:hAnsi="宋体" w:cs="宋体"/>
          <w:szCs w:val="21"/>
        </w:rPr>
      </w:pPr>
      <w:r>
        <w:rPr>
          <w:rFonts w:hint="eastAsia" w:ascii="宋体" w:hAnsi="宋体" w:cs="宋体"/>
          <w:szCs w:val="21"/>
        </w:rPr>
        <w:t xml:space="preserve">2.代理机构信息</w:t>
      </w:r>
      <w:r/>
    </w:p>
    <w:p>
      <w:pPr>
        <w:ind w:left="420"/>
        <w:spacing w:line="360" w:lineRule="auto"/>
        <w:rPr>
          <w:rFonts w:ascii="宋体" w:hAnsi="宋体" w:cs="宋体"/>
          <w:szCs w:val="21"/>
        </w:rPr>
      </w:pPr>
      <w:r>
        <w:rPr>
          <w:rFonts w:hint="eastAsia" w:ascii="宋体" w:hAnsi="宋体" w:cs="宋体"/>
          <w:szCs w:val="21"/>
        </w:rPr>
        <w:t xml:space="preserve">名  </w:t>
      </w:r>
      <w:r>
        <w:rPr>
          <w:rFonts w:hint="eastAsia" w:ascii="宋体" w:hAnsi="宋体" w:cs="宋体"/>
          <w:szCs w:val="21"/>
        </w:rPr>
        <w:t xml:space="preserve">  </w:t>
      </w:r>
      <w:r>
        <w:rPr>
          <w:rFonts w:hint="eastAsia" w:ascii="宋体" w:hAnsi="宋体" w:cs="宋体"/>
          <w:szCs w:val="21"/>
        </w:rPr>
        <w:t xml:space="preserve">称：江苏汇诚投资咨询管理有限公司</w:t>
      </w:r>
      <w:r/>
    </w:p>
    <w:p>
      <w:pPr>
        <w:ind w:left="420"/>
        <w:spacing w:line="360" w:lineRule="auto"/>
        <w:rPr>
          <w:rFonts w:ascii="宋体" w:hAnsi="宋体" w:cs="宋体"/>
          <w:szCs w:val="21"/>
        </w:rPr>
      </w:pPr>
      <w:r>
        <w:rPr>
          <w:rFonts w:hint="eastAsia" w:ascii="宋体" w:hAnsi="宋体" w:cs="宋体"/>
          <w:szCs w:val="21"/>
        </w:rPr>
        <w:t xml:space="preserve">地　</w:t>
      </w:r>
      <w:r>
        <w:rPr>
          <w:rFonts w:hint="eastAsia" w:ascii="宋体" w:hAnsi="宋体" w:cs="宋体"/>
          <w:szCs w:val="21"/>
        </w:rPr>
        <w:t xml:space="preserve">  </w:t>
      </w:r>
      <w:r>
        <w:rPr>
          <w:rFonts w:hint="eastAsia" w:ascii="宋体" w:hAnsi="宋体" w:cs="宋体"/>
          <w:szCs w:val="21"/>
        </w:rPr>
        <w:t xml:space="preserve">址：扬州市邗江北路68号西入口3楼</w:t>
      </w:r>
      <w:r/>
    </w:p>
    <w:p>
      <w:pPr>
        <w:ind w:left="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人：刘泽容</w:t>
      </w:r>
      <w:r/>
    </w:p>
    <w:p>
      <w:pPr>
        <w:pStyle w:val="757"/>
        <w:ind w:left="420"/>
        <w:spacing w:line="360" w:lineRule="auto"/>
        <w:rPr>
          <w:rFonts w:hAnsi="宋体" w:cs="宋体"/>
          <w:sz w:val="21"/>
        </w:rPr>
      </w:pPr>
      <w:r>
        <w:rPr>
          <w:rFonts w:hint="eastAsia" w:hAnsi="宋体" w:cs="宋体"/>
          <w:sz w:val="21"/>
        </w:rPr>
        <w:t xml:space="preserve">联系方式：0514-89787281</w:t>
      </w:r>
      <w:r/>
    </w:p>
    <w:p>
      <w:pPr>
        <w:numPr>
          <w:ilvl w:val="0"/>
          <w:numId w:val="3"/>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w:t>
      </w:r>
      <w:r>
        <w:rPr>
          <w:rFonts w:hint="eastAsia" w:ascii="宋体" w:hAnsi="宋体" w:cs="宋体"/>
          <w:b/>
          <w:bCs/>
        </w:rPr>
        <w:t xml:space="preserve">业务的金融机构申请线上融资，相关事宜可向市人民银行咨询，联系电话：0514-87936653。</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4"/>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6"/>
      <w:bookmarkEnd w:id="37"/>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43"/>
        <w:jc w:val="center"/>
        <w:spacing w:line="360" w:lineRule="auto"/>
        <w:rPr>
          <w:rFonts w:ascii="宋体" w:hAnsi="宋体"/>
          <w:szCs w:val="36"/>
        </w:rPr>
      </w:pPr>
      <w:r/>
      <w:bookmarkStart w:id="38" w:name="_Toc191970190"/>
      <w:r/>
      <w:bookmarkStart w:id="39" w:name="_Toc55204178"/>
      <w:r>
        <w:rPr>
          <w:rFonts w:hint="eastAsia" w:ascii="宋体" w:hAnsi="宋体"/>
          <w:szCs w:val="36"/>
        </w:rPr>
        <w:t xml:space="preserve">第二章 投标人须知</w:t>
      </w:r>
      <w:bookmarkEnd w:id="38"/>
      <w:r/>
      <w:bookmarkEnd w:id="39"/>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本次招标采取公开招标方式，本招标文件仅适用于JSZC-321000-HCZX-G2025-0097号项目。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t xml:space="preserve">本项目招标代理费按照发改价格〔</w:t>
      </w:r>
      <w:r>
        <w:t xml:space="preserve">2011</w:t>
      </w:r>
      <w:r>
        <w:t xml:space="preserve">〕</w:t>
      </w:r>
      <w:r>
        <w:t xml:space="preserve">534</w:t>
      </w:r>
      <w:r>
        <w:t xml:space="preserve">号文服务类标准</w:t>
      </w:r>
      <w:r>
        <w:t xml:space="preserve">*</w:t>
      </w:r>
      <w:r>
        <w:rPr>
          <w:rFonts w:hint="eastAsia"/>
        </w:rPr>
        <w:t xml:space="preserve">28</w:t>
      </w:r>
      <w:r>
        <w:t xml:space="preserve">%</w:t>
      </w:r>
      <w:r>
        <w:t xml:space="preserve">收取，该费用不单独计列，计入供应商的投标报价中。以上费用由成交供应商在领取成交通知书前一次性支付。</w:t>
      </w:r>
      <w:r/>
    </w:p>
    <w:p>
      <w:pPr>
        <w:ind w:firstLine="420"/>
        <w:spacing w:line="360" w:lineRule="auto"/>
      </w:pPr>
      <w:r>
        <w:t xml:space="preserve">（</w:t>
      </w:r>
      <w:r>
        <w:t xml:space="preserve">1</w:t>
      </w:r>
      <w:r>
        <w:t xml:space="preserve">）代理服务费以人民币支付；</w:t>
      </w:r>
      <w:r/>
    </w:p>
    <w:p>
      <w:pPr>
        <w:ind w:firstLine="420"/>
        <w:spacing w:line="360" w:lineRule="auto"/>
      </w:pPr>
      <w:r>
        <w:t xml:space="preserve">（</w:t>
      </w:r>
      <w:r>
        <w:t xml:space="preserve">2</w:t>
      </w:r>
      <w:r>
        <w:t xml:space="preserve">）代理服务费一次性以电汇、转账等非现金形式支付；</w:t>
      </w:r>
      <w:r/>
    </w:p>
    <w:p>
      <w:pPr>
        <w:ind w:firstLine="420"/>
        <w:spacing w:line="360" w:lineRule="auto"/>
      </w:pPr>
      <w:r>
        <w:t xml:space="preserve">（</w:t>
      </w:r>
      <w:r>
        <w:t xml:space="preserve">3</w:t>
      </w:r>
      <w:r>
        <w:t xml:space="preserve">）招标代理服务费不在投标报价中单列，包含在投标总价中，由中标单位支付给代理机构。</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w:t>
      </w:r>
      <w:r>
        <w:rPr>
          <w:rFonts w:hint="eastAsia" w:ascii="宋体" w:hAnsi="宋体"/>
          <w:bCs/>
          <w:szCs w:val="21"/>
        </w:rPr>
        <w:t xml:space="preserve">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w:t>
      </w:r>
      <w:r>
        <w:rPr>
          <w:rFonts w:hint="eastAsia" w:ascii="宋体" w:hAnsi="宋体"/>
          <w:bCs/>
          <w:szCs w:val="21"/>
        </w:rPr>
        <w:t xml:space="preserve">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513029225"/>
      <w:r/>
      <w:bookmarkStart w:id="41" w:name="_Toc16938541"/>
      <w:r/>
      <w:bookmarkStart w:id="42" w:name="_Toc20823297"/>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513029227"/>
      <w:r/>
      <w:bookmarkStart w:id="48" w:name="_Toc20823299"/>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513029228"/>
      <w:r/>
      <w:bookmarkStart w:id="51" w:name="_Toc16938544"/>
      <w:r/>
      <w:bookmarkStart w:id="52" w:name="_Toc20823300"/>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bookmarkStart w:id="53" w:name="_Hlk183094183"/>
      <w:r>
        <w:rPr>
          <w:rFonts w:hint="eastAsia" w:ascii="宋体" w:hAnsi="宋体" w:cs="宋体"/>
          <w:bCs/>
          <w:szCs w:val="21"/>
        </w:rPr>
        <w:t xml:space="preserve">非单一产品采购项目，招标文件中将载明其中的核心产品。</w:t>
      </w:r>
      <w:bookmarkEnd w:id="53"/>
      <w:r>
        <w:rPr>
          <w:rFonts w:hint="eastAsia" w:ascii="宋体" w:hAnsi="宋体" w:cs="宋体"/>
          <w:bCs/>
          <w:szCs w:val="21"/>
        </w:rPr>
        <w:t xml:space="preserve">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w:t>
      </w:r>
      <w:r>
        <w:rPr>
          <w:rFonts w:hint="eastAsia" w:ascii="宋体" w:hAnsi="宋体"/>
          <w:bCs/>
          <w:szCs w:val="21"/>
        </w:rPr>
        <w:t xml:space="preserve">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w:t>
      </w:r>
      <w:r>
        <w:rPr>
          <w:rFonts w:hint="eastAsia" w:ascii="宋体" w:hAnsi="宋体"/>
          <w:bCs/>
          <w:szCs w:val="21"/>
        </w:rPr>
        <w:t xml:space="preserve">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5"/>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b/>
          <w:bCs/>
        </w:rPr>
      </w:pPr>
      <w:r>
        <w:rPr>
          <w:b/>
          <w:bCs/>
        </w:rPr>
        <w:t xml:space="preserve">3</w:t>
      </w:r>
      <w:r>
        <w:rPr>
          <w:rFonts w:hint="eastAsia"/>
          <w:b/>
          <w:bCs/>
        </w:rPr>
        <w:t xml:space="preserve">3</w:t>
      </w:r>
      <w:r>
        <w:rPr>
          <w:rFonts w:hint="eastAsia"/>
          <w:b/>
          <w:bCs/>
        </w:rPr>
        <w:t xml:space="preserve">、其他</w:t>
      </w:r>
      <w:r/>
    </w:p>
    <w:p>
      <w:pPr>
        <w:ind w:firstLine="420"/>
        <w:spacing w:line="360" w:lineRule="auto"/>
        <w:rPr>
          <w:rFonts w:ascii="宋体" w:hAnsi="宋体"/>
          <w:bCs/>
          <w:szCs w:val="21"/>
        </w:rPr>
      </w:pPr>
      <w:r>
        <w:t xml:space="preserve">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43"/>
        <w:jc w:val="center"/>
        <w:spacing w:line="360" w:lineRule="auto"/>
        <w:rPr>
          <w:rFonts w:ascii="宋体" w:hAnsi="宋体"/>
          <w:szCs w:val="36"/>
        </w:rPr>
      </w:pPr>
      <w:r/>
      <w:bookmarkStart w:id="54" w:name="_Toc55204179"/>
      <w:r/>
      <w:bookmarkStart w:id="55" w:name="_Toc191970191"/>
      <w:r/>
      <w:bookmarkStart w:id="56" w:name="_Hlk69392822"/>
      <w:r>
        <w:rPr>
          <w:rFonts w:hint="eastAsia" w:ascii="宋体" w:hAnsi="宋体"/>
          <w:szCs w:val="36"/>
        </w:rPr>
        <w:t xml:space="preserve">第三章 合同条款及格式</w:t>
      </w:r>
      <w:bookmarkEnd w:id="54"/>
      <w:r/>
      <w:bookmarkEnd w:id="55"/>
      <w:r/>
      <w:r/>
    </w:p>
    <w:p>
      <w:pPr>
        <w:pStyle w:val="757"/>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57"/>
        <w:ind w:firstLine="422"/>
        <w:jc w:val="center"/>
        <w:spacing w:before="120" w:after="120" w:line="360" w:lineRule="auto"/>
        <w:rPr>
          <w:rFonts w:hAnsi="宋体"/>
          <w:b/>
          <w:bCs/>
          <w:sz w:val="21"/>
        </w:rPr>
      </w:pPr>
      <w:r>
        <w:rPr>
          <w:rFonts w:hint="eastAsia" w:hAnsi="宋体"/>
          <w:b/>
          <w:bCs/>
          <w:sz w:val="21"/>
        </w:rPr>
        <w:t xml:space="preserve">扬州市政府采购合同（服务)（JSZC-321000-HCZX-G2025-0097）</w:t>
      </w:r>
      <w:r/>
    </w:p>
    <w:p>
      <w:pPr>
        <w:pStyle w:val="757"/>
        <w:ind w:firstLine="420"/>
        <w:spacing w:before="120" w:after="120" w:line="360" w:lineRule="auto"/>
        <w:rPr>
          <w:rFonts w:hAnsi="宋体"/>
          <w:sz w:val="21"/>
        </w:rPr>
      </w:pPr>
      <w:r>
        <w:rPr>
          <w:rFonts w:hint="eastAsia" w:hAnsi="宋体"/>
          <w:sz w:val="21"/>
        </w:rPr>
        <w:t xml:space="preserve">项目名称：扬州市中医院新院区保安服务项目               </w:t>
      </w:r>
      <w:r/>
    </w:p>
    <w:p>
      <w:pPr>
        <w:pStyle w:val="757"/>
        <w:ind w:firstLine="420"/>
        <w:spacing w:before="120" w:after="120" w:line="360" w:lineRule="auto"/>
        <w:rPr>
          <w:rFonts w:hAnsi="宋体"/>
          <w:sz w:val="21"/>
        </w:rPr>
      </w:pPr>
      <w:r>
        <w:rPr>
          <w:rFonts w:hint="eastAsia" w:hAnsi="宋体"/>
          <w:sz w:val="21"/>
        </w:rPr>
        <w:t xml:space="preserve">项目编号：JSZC-321000-HCZX-G2025-0097</w:t>
      </w:r>
      <w:r/>
    </w:p>
    <w:p>
      <w:pPr>
        <w:pStyle w:val="757"/>
        <w:ind w:firstLine="420"/>
        <w:spacing w:before="120" w:after="120" w:line="360" w:lineRule="auto"/>
        <w:rPr>
          <w:rFonts w:hAnsi="宋体"/>
          <w:sz w:val="21"/>
        </w:rPr>
      </w:pPr>
      <w:r>
        <w:rPr>
          <w:rFonts w:hint="eastAsia" w:hAnsi="宋体"/>
          <w:sz w:val="21"/>
        </w:rPr>
        <w:t xml:space="preserve">分 包 号：</w:t>
      </w:r>
      <w:r/>
    </w:p>
    <w:p>
      <w:pPr>
        <w:pStyle w:val="757"/>
        <w:ind w:firstLine="420"/>
        <w:spacing w:before="120" w:after="120" w:line="360" w:lineRule="auto"/>
        <w:rPr>
          <w:rFonts w:hAnsi="宋体"/>
          <w:sz w:val="21"/>
        </w:rPr>
      </w:pPr>
      <w:r>
        <w:rPr>
          <w:rFonts w:hint="eastAsia" w:hAnsi="宋体"/>
          <w:sz w:val="21"/>
        </w:rPr>
        <w:t xml:space="preserve">甲方：（买方）扬州市中医院</w:t>
      </w:r>
      <w:r/>
    </w:p>
    <w:p>
      <w:pPr>
        <w:pStyle w:val="757"/>
        <w:ind w:firstLine="420"/>
        <w:spacing w:before="120" w:after="120" w:line="360" w:lineRule="auto"/>
        <w:rPr>
          <w:rFonts w:hAnsi="宋体"/>
          <w:sz w:val="21"/>
        </w:rPr>
      </w:pPr>
      <w:r>
        <w:rPr>
          <w:rFonts w:hint="eastAsia" w:hAnsi="宋体"/>
          <w:sz w:val="21"/>
        </w:rPr>
        <w:t xml:space="preserve">乙方：（卖方）_________</w:t>
      </w:r>
      <w:r/>
    </w:p>
    <w:p>
      <w:pPr>
        <w:pStyle w:val="757"/>
        <w:ind w:firstLine="420"/>
        <w:spacing w:before="120" w:after="120" w:line="360" w:lineRule="auto"/>
        <w:rPr>
          <w:rFonts w:hAnsi="宋体"/>
          <w:sz w:val="21"/>
        </w:rPr>
      </w:pPr>
      <w:r>
        <w:rPr>
          <w:rFonts w:hint="eastAsia" w:hAnsi="宋体"/>
          <w:sz w:val="21"/>
        </w:rPr>
        <w:t xml:space="preserve">见证方：</w:t>
      </w:r>
      <w:r/>
    </w:p>
    <w:p>
      <w:pPr>
        <w:pStyle w:val="757"/>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spacing w:before="120" w:after="120" w:line="360" w:lineRule="auto"/>
        <w:rPr>
          <w:rFonts w:ascii="宋体" w:hAnsi="宋体" w:cs="宋体"/>
          <w:b/>
          <w:szCs w:val="21"/>
        </w:rPr>
      </w:pPr>
      <w:r>
        <w:rPr>
          <w:rFonts w:hint="eastAsia" w:ascii="宋体" w:hAnsi="宋体" w:cs="宋体"/>
          <w:b/>
          <w:szCs w:val="21"/>
        </w:rPr>
        <w:t xml:space="preserve">一、合同内容</w:t>
      </w:r>
      <w:r/>
    </w:p>
    <w:p>
      <w:pPr>
        <w:spacing w:before="120" w:after="120" w:line="360" w:lineRule="auto"/>
        <w:rPr>
          <w:rFonts w:ascii="宋体" w:hAnsi="宋体" w:cs="宋体"/>
          <w:szCs w:val="21"/>
        </w:rPr>
      </w:pPr>
      <w:r>
        <w:rPr>
          <w:rFonts w:hint="eastAsia" w:ascii="宋体" w:hAnsi="宋体" w:cs="宋体"/>
          <w:szCs w:val="21"/>
        </w:rPr>
        <w:t xml:space="preserve">1.1 标的名称：</w:t>
      </w:r>
      <w:r>
        <w:rPr>
          <w:rFonts w:hint="eastAsia" w:ascii="宋体" w:hAnsi="宋体" w:cs="宋体"/>
          <w:szCs w:val="21"/>
        </w:rPr>
        <w:t xml:space="preserve">扬州市中医院新院区保安服务</w:t>
      </w:r>
      <w:r/>
    </w:p>
    <w:p>
      <w:pPr>
        <w:spacing w:before="120" w:after="120" w:line="360" w:lineRule="auto"/>
        <w:rPr>
          <w:rFonts w:ascii="宋体" w:hAnsi="宋体" w:cs="宋体"/>
          <w:szCs w:val="21"/>
        </w:rPr>
      </w:pPr>
      <w:r>
        <w:rPr>
          <w:rFonts w:hint="eastAsia" w:ascii="宋体" w:hAnsi="宋体" w:cs="宋体"/>
          <w:szCs w:val="21"/>
        </w:rPr>
        <w:t xml:space="preserve">1.2 标的质量：</w:t>
      </w:r>
      <w:r/>
    </w:p>
    <w:p>
      <w:pPr>
        <w:spacing w:before="120" w:after="120" w:line="360" w:lineRule="auto"/>
        <w:rPr>
          <w:rFonts w:ascii="宋体" w:hAnsi="宋体" w:cs="宋体"/>
          <w:szCs w:val="21"/>
        </w:rPr>
      </w:pPr>
      <w:r>
        <w:rPr>
          <w:rFonts w:hint="eastAsia" w:ascii="宋体" w:hAnsi="宋体" w:cs="宋体"/>
          <w:szCs w:val="21"/>
        </w:rPr>
        <w:t xml:space="preserve">1.3 标的数量（规模）：</w:t>
      </w:r>
      <w:r/>
    </w:p>
    <w:p>
      <w:pPr>
        <w:spacing w:before="120" w:after="120" w:line="360" w:lineRule="auto"/>
        <w:rPr>
          <w:rFonts w:ascii="宋体" w:hAnsi="宋体" w:cs="宋体"/>
          <w:szCs w:val="21"/>
        </w:rPr>
      </w:pPr>
      <w:r>
        <w:rPr>
          <w:rFonts w:hint="eastAsia" w:ascii="宋体" w:hAnsi="宋体" w:cs="宋体"/>
          <w:szCs w:val="21"/>
        </w:rPr>
        <w:t xml:space="preserve">1.4 履行时间（期限）：</w:t>
      </w:r>
      <w:r/>
    </w:p>
    <w:p>
      <w:pPr>
        <w:spacing w:before="120" w:after="120" w:line="360" w:lineRule="auto"/>
        <w:rPr>
          <w:rFonts w:ascii="宋体" w:hAnsi="宋体" w:cs="宋体"/>
          <w:szCs w:val="21"/>
        </w:rPr>
      </w:pPr>
      <w:r>
        <w:rPr>
          <w:rFonts w:hint="eastAsia" w:ascii="宋体" w:hAnsi="宋体" w:cs="宋体"/>
          <w:szCs w:val="21"/>
        </w:rPr>
        <w:t xml:space="preserve">1.5 履行地点：</w:t>
      </w:r>
      <w:r/>
    </w:p>
    <w:p>
      <w:pPr>
        <w:spacing w:before="120" w:after="120" w:line="360" w:lineRule="auto"/>
        <w:rPr>
          <w:rFonts w:ascii="宋体" w:hAnsi="宋体" w:cs="宋体"/>
          <w:szCs w:val="21"/>
        </w:rPr>
      </w:pPr>
      <w:r>
        <w:rPr>
          <w:rFonts w:hint="eastAsia" w:ascii="宋体" w:hAnsi="宋体" w:cs="宋体"/>
          <w:szCs w:val="21"/>
        </w:rPr>
        <w:t xml:space="preserve">1.6 履行方式：</w:t>
      </w:r>
      <w:r/>
    </w:p>
    <w:p>
      <w:pPr>
        <w:spacing w:before="120" w:after="120" w:line="360" w:lineRule="auto"/>
        <w:rPr>
          <w:rFonts w:ascii="宋体" w:hAnsi="宋体" w:cs="宋体"/>
          <w:szCs w:val="21"/>
        </w:rPr>
      </w:pPr>
      <w:r>
        <w:rPr>
          <w:rFonts w:hint="eastAsia" w:ascii="宋体" w:hAnsi="宋体" w:cs="宋体"/>
          <w:szCs w:val="21"/>
        </w:rPr>
        <w:t xml:space="preserve">1.7质保期：      年。（自交货验收合格之日起计）</w:t>
      </w:r>
      <w:r/>
    </w:p>
    <w:p>
      <w:pPr>
        <w:spacing w:before="120" w:after="120" w:line="360" w:lineRule="auto"/>
        <w:rPr>
          <w:rFonts w:ascii="宋体" w:hAnsi="宋体" w:cs="宋体"/>
          <w:b/>
          <w:szCs w:val="21"/>
        </w:rPr>
      </w:pPr>
      <w:r>
        <w:rPr>
          <w:rFonts w:hint="eastAsia" w:ascii="宋体" w:hAnsi="宋体" w:cs="宋体"/>
          <w:b/>
          <w:szCs w:val="21"/>
        </w:rPr>
        <w:t xml:space="preserve">二、合同金额</w:t>
      </w:r>
      <w:r/>
    </w:p>
    <w:p>
      <w:pPr>
        <w:ind w:left="359" w:hanging="359"/>
        <w:spacing w:before="120" w:after="120" w:line="360" w:lineRule="auto"/>
        <w:rPr>
          <w:rFonts w:ascii="宋体" w:hAnsi="宋体" w:cs="宋体"/>
          <w:szCs w:val="21"/>
        </w:rPr>
      </w:pPr>
      <w:r>
        <w:rPr>
          <w:rFonts w:hint="eastAsia" w:ascii="宋体" w:hAnsi="宋体" w:cs="宋体"/>
          <w:szCs w:val="21"/>
        </w:rPr>
        <w:t xml:space="preserve">2.1本合同金额为（大写）：____________圆（_______________元）人民币。</w:t>
      </w:r>
      <w:r/>
    </w:p>
    <w:p>
      <w:pPr>
        <w:spacing w:before="120" w:after="120" w:line="360" w:lineRule="auto"/>
        <w:rPr>
          <w:rFonts w:ascii="宋体" w:hAnsi="宋体" w:cs="宋体"/>
          <w:b/>
          <w:szCs w:val="21"/>
        </w:rPr>
      </w:pPr>
      <w:r>
        <w:rPr>
          <w:rFonts w:hint="eastAsia" w:ascii="宋体" w:hAnsi="宋体" w:cs="宋体"/>
          <w:b/>
          <w:szCs w:val="21"/>
        </w:rPr>
        <w:t xml:space="preserve">三、技术资料</w:t>
      </w:r>
      <w:r/>
    </w:p>
    <w:p>
      <w:pPr>
        <w:spacing w:before="120" w:after="120" w:line="360" w:lineRule="auto"/>
        <w:rPr>
          <w:rFonts w:ascii="宋体" w:hAnsi="宋体" w:cs="宋体"/>
          <w:szCs w:val="21"/>
        </w:rPr>
      </w:pPr>
      <w:r>
        <w:rPr>
          <w:rFonts w:hint="eastAsia" w:ascii="宋体" w:hAnsi="宋体" w:cs="宋体"/>
          <w:szCs w:val="21"/>
        </w:rPr>
        <w:t xml:space="preserve">3.1乙方应按磋商文件规定的时间向甲方提供与合同标的有关的技术资料。</w:t>
      </w:r>
      <w:r/>
    </w:p>
    <w:p>
      <w:pPr>
        <w:spacing w:before="120" w:after="120" w:line="360" w:lineRule="auto"/>
        <w:rPr>
          <w:rFonts w:ascii="宋体" w:hAnsi="宋体" w:cs="宋体"/>
          <w:szCs w:val="21"/>
        </w:rPr>
      </w:pPr>
      <w:r>
        <w:rPr>
          <w:rFonts w:hint="eastAsia" w:ascii="宋体" w:hAnsi="宋体" w:cs="宋体"/>
          <w:szCs w:val="21"/>
        </w:rPr>
        <w:t xml:space="preserve">3.2没有甲方事先书面同意，乙方不得将由甲方提供的有关合同或任何合同条文、规格、计</w:t>
      </w:r>
      <w:r>
        <w:rPr>
          <w:rFonts w:hint="eastAsia" w:ascii="宋体" w:hAnsi="宋体" w:cs="宋体"/>
          <w:szCs w:val="21"/>
        </w:rPr>
        <w:t xml:space="preserve">划、图纸、样品或资料提供给与履行本合同无关的任何其他人。即使向履行本合同有关的人员提供，也应注意保密并限于履行合同的必需范围。</w:t>
      </w:r>
      <w:r/>
    </w:p>
    <w:p>
      <w:pPr>
        <w:ind w:left="360" w:hanging="360"/>
        <w:spacing w:before="120" w:after="120" w:line="360" w:lineRule="auto"/>
        <w:rPr>
          <w:rFonts w:ascii="宋体" w:hAnsi="宋体" w:cs="宋体"/>
          <w:b/>
          <w:szCs w:val="21"/>
        </w:rPr>
      </w:pPr>
      <w:r>
        <w:rPr>
          <w:rFonts w:hint="eastAsia" w:ascii="宋体" w:hAnsi="宋体" w:cs="宋体"/>
          <w:b/>
          <w:szCs w:val="21"/>
        </w:rPr>
        <w:t xml:space="preserve">四、知识产权</w:t>
      </w:r>
      <w:r/>
    </w:p>
    <w:p>
      <w:pPr>
        <w:spacing w:before="120" w:after="120" w:line="360" w:lineRule="auto"/>
        <w:rPr>
          <w:rFonts w:ascii="宋体" w:hAnsi="宋体" w:cs="宋体"/>
          <w:szCs w:val="21"/>
        </w:rPr>
      </w:pPr>
      <w:r>
        <w:rPr>
          <w:rFonts w:hint="eastAsia" w:ascii="宋体" w:hAnsi="宋体" w:cs="宋体"/>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ascii="宋体" w:hAnsi="宋体" w:cs="宋体"/>
          <w:szCs w:val="21"/>
          <w:u w:val="single"/>
        </w:rPr>
      </w:pPr>
      <w:r>
        <w:rPr>
          <w:rFonts w:hint="eastAsia" w:ascii="宋体" w:hAnsi="宋体" w:cs="宋体"/>
          <w:b/>
          <w:szCs w:val="21"/>
        </w:rPr>
        <w:t xml:space="preserve">五、产权担保</w:t>
      </w:r>
      <w:r/>
    </w:p>
    <w:p>
      <w:pPr>
        <w:ind w:left="357" w:hanging="357"/>
        <w:spacing w:before="120" w:after="120" w:line="360" w:lineRule="auto"/>
        <w:rPr>
          <w:rFonts w:ascii="宋体" w:hAnsi="宋体" w:cs="宋体"/>
          <w:szCs w:val="21"/>
          <w:u w:val="single"/>
        </w:rPr>
      </w:pPr>
      <w:r>
        <w:rPr>
          <w:rFonts w:hint="eastAsia" w:ascii="宋体" w:hAnsi="宋体" w:cs="宋体"/>
          <w:szCs w:val="21"/>
        </w:rPr>
        <w:t xml:space="preserve">5.1 乙方保证所交付的合同标的的所有权完全属于乙方且无任何抵押、查封等产权瑕疵。</w:t>
      </w:r>
      <w:r/>
    </w:p>
    <w:p>
      <w:pPr>
        <w:ind w:left="358" w:hanging="358"/>
        <w:spacing w:before="120" w:after="120" w:line="360" w:lineRule="auto"/>
        <w:rPr>
          <w:rFonts w:ascii="宋体" w:hAnsi="宋体" w:cs="宋体"/>
          <w:b/>
          <w:szCs w:val="21"/>
        </w:rPr>
      </w:pPr>
      <w:r>
        <w:rPr>
          <w:rFonts w:hint="eastAsia" w:ascii="宋体" w:hAnsi="宋体" w:cs="宋体"/>
          <w:b/>
          <w:szCs w:val="21"/>
        </w:rPr>
        <w:t xml:space="preserve">六、履约保证金</w:t>
      </w:r>
      <w:r/>
    </w:p>
    <w:p>
      <w:pPr>
        <w:spacing w:before="156" w:after="156" w:line="360" w:lineRule="auto"/>
        <w:rPr>
          <w:rFonts w:ascii="宋体" w:hAnsi="宋体" w:cs="宋体"/>
          <w:szCs w:val="21"/>
        </w:rPr>
      </w:pPr>
      <w:r>
        <w:rPr>
          <w:rFonts w:hint="eastAsia" w:ascii="宋体" w:hAnsi="宋体" w:cs="宋体"/>
          <w:szCs w:val="21"/>
        </w:rPr>
        <w:t xml:space="preserve">无</w:t>
      </w:r>
      <w:r/>
    </w:p>
    <w:p>
      <w:pPr>
        <w:spacing w:before="156" w:after="156" w:line="360" w:lineRule="auto"/>
        <w:rPr>
          <w:rFonts w:ascii="宋体" w:hAnsi="宋体" w:cs="宋体"/>
          <w:b/>
          <w:szCs w:val="21"/>
        </w:rPr>
      </w:pPr>
      <w:r>
        <w:rPr>
          <w:rFonts w:hint="eastAsia" w:ascii="宋体" w:hAnsi="宋体" w:cs="宋体"/>
          <w:b/>
          <w:szCs w:val="21"/>
        </w:rPr>
        <w:t xml:space="preserve">七、合同转包或分包</w:t>
      </w:r>
      <w:r/>
    </w:p>
    <w:p>
      <w:pPr>
        <w:spacing w:before="156" w:after="156" w:line="360" w:lineRule="auto"/>
        <w:rPr>
          <w:rFonts w:ascii="宋体" w:hAnsi="宋体" w:cs="宋体"/>
          <w:szCs w:val="21"/>
        </w:rPr>
      </w:pPr>
      <w:r>
        <w:rPr>
          <w:rFonts w:hint="eastAsia" w:ascii="宋体" w:hAnsi="宋体" w:cs="宋体"/>
          <w:szCs w:val="21"/>
        </w:rPr>
        <w:t xml:space="preserve">7.1乙方不得将合同标的转包给他人履行。</w:t>
      </w:r>
      <w:r/>
    </w:p>
    <w:p>
      <w:pPr>
        <w:spacing w:before="156" w:after="156" w:line="360" w:lineRule="auto"/>
        <w:rPr>
          <w:rFonts w:ascii="宋体" w:hAnsi="宋体" w:cs="宋体"/>
          <w:szCs w:val="21"/>
        </w:rPr>
      </w:pPr>
      <w:r>
        <w:rPr>
          <w:rFonts w:hint="eastAsia" w:ascii="宋体" w:hAnsi="宋体" w:cs="宋体"/>
          <w:szCs w:val="21"/>
        </w:rPr>
        <w:t xml:space="preserve">7.2乙方不得将合同标的分包给他人履行。</w:t>
      </w:r>
      <w:r/>
    </w:p>
    <w:p>
      <w:pPr>
        <w:spacing w:before="156" w:after="156" w:line="360" w:lineRule="auto"/>
        <w:rPr>
          <w:rFonts w:ascii="宋体" w:hAnsi="宋体" w:cs="宋体"/>
          <w:szCs w:val="21"/>
        </w:rPr>
      </w:pPr>
      <w:r>
        <w:rPr>
          <w:rFonts w:hint="eastAsia" w:ascii="宋体" w:hAnsi="宋体" w:cs="宋体"/>
          <w:szCs w:val="21"/>
        </w:rPr>
        <w:t xml:space="preserve">7.3乙方如有转包或未经甲方同意的分包行为，甲方有权解除合同。</w:t>
      </w:r>
      <w:r/>
    </w:p>
    <w:p>
      <w:pPr>
        <w:spacing w:before="120" w:after="120" w:line="360" w:lineRule="auto"/>
        <w:rPr>
          <w:rFonts w:ascii="宋体" w:hAnsi="宋体" w:cs="宋体"/>
          <w:b/>
          <w:szCs w:val="21"/>
        </w:rPr>
      </w:pPr>
      <w:r>
        <w:rPr>
          <w:rFonts w:hint="eastAsia" w:ascii="宋体" w:hAnsi="宋体" w:cs="宋体"/>
          <w:b/>
          <w:szCs w:val="21"/>
        </w:rPr>
        <w:t xml:space="preserve">八、合同款项支付</w:t>
      </w:r>
      <w:r/>
    </w:p>
    <w:p>
      <w:pPr>
        <w:spacing w:before="156" w:after="156" w:line="360" w:lineRule="auto"/>
        <w:rPr>
          <w:rFonts w:ascii="宋体" w:hAnsi="宋体" w:cs="宋体"/>
          <w:szCs w:val="21"/>
        </w:rPr>
      </w:pPr>
      <w:r>
        <w:rPr>
          <w:rFonts w:hint="eastAsia" w:ascii="宋体" w:hAnsi="宋体" w:cs="宋体"/>
          <w:szCs w:val="21"/>
        </w:rPr>
        <w:t xml:space="preserve">8.1 本合同项下所有款项均以人民币支付。 </w:t>
      </w:r>
      <w:r/>
    </w:p>
    <w:p>
      <w:pPr>
        <w:spacing w:before="156" w:after="156" w:line="360" w:lineRule="auto"/>
        <w:rPr>
          <w:rFonts w:ascii="宋体" w:hAnsi="宋体" w:cs="宋体"/>
          <w:szCs w:val="21"/>
        </w:rPr>
      </w:pPr>
      <w:r>
        <w:rPr>
          <w:rFonts w:hint="eastAsia" w:ascii="宋体" w:hAnsi="宋体" w:cs="宋体"/>
          <w:szCs w:val="21"/>
        </w:rPr>
        <w:t xml:space="preserve">8.2 本合同项下的采购资金由甲方支付，付款前乙方向甲方开具发票。</w:t>
      </w:r>
      <w:r/>
    </w:p>
    <w:p>
      <w:pPr>
        <w:spacing w:before="156" w:after="156" w:line="360" w:lineRule="auto"/>
        <w:rPr>
          <w:rFonts w:ascii="宋体" w:hAnsi="宋体" w:cs="宋体"/>
          <w:szCs w:val="21"/>
        </w:rPr>
      </w:pPr>
      <w:r>
        <w:rPr>
          <w:rFonts w:hint="eastAsia" w:ascii="宋体" w:hAnsi="宋体" w:cs="宋体"/>
          <w:szCs w:val="21"/>
        </w:rPr>
        <w:t xml:space="preserve">8.3 甲方付款方式：</w:t>
      </w:r>
      <w:r>
        <w:rPr>
          <w:rFonts w:ascii="宋体" w:hAnsi="宋体" w:cs="宋体"/>
          <w:szCs w:val="21"/>
        </w:rPr>
        <w:t xml:space="preserve">根据先提供服务后支付原则，经采购人</w:t>
      </w:r>
      <w:r>
        <w:rPr>
          <w:rFonts w:hint="eastAsia" w:ascii="宋体" w:hAnsi="宋体" w:cs="宋体"/>
          <w:szCs w:val="21"/>
        </w:rPr>
        <w:t xml:space="preserve">按期考核</w:t>
      </w:r>
      <w:r>
        <w:rPr>
          <w:rFonts w:ascii="宋体" w:hAnsi="宋体" w:cs="宋体"/>
          <w:szCs w:val="21"/>
        </w:rPr>
        <w:t xml:space="preserve">合格后，按实际人员数量、需缴纳社保人员数量、种类、服务内容支付上月服务费（结算前乙方需向甲方提供正式税务发票）。</w:t>
      </w:r>
      <w:r/>
    </w:p>
    <w:p>
      <w:pPr>
        <w:spacing w:before="156" w:after="156" w:line="360" w:lineRule="auto"/>
        <w:rPr>
          <w:rFonts w:ascii="宋体" w:hAnsi="宋体" w:cs="宋体"/>
          <w:b/>
          <w:szCs w:val="21"/>
        </w:rPr>
      </w:pPr>
      <w:r>
        <w:rPr>
          <w:rFonts w:hint="eastAsia" w:ascii="宋体" w:hAnsi="宋体" w:cs="宋体"/>
          <w:b/>
          <w:szCs w:val="21"/>
        </w:rPr>
        <w:t xml:space="preserve">九、税费</w:t>
      </w:r>
      <w:r/>
    </w:p>
    <w:p>
      <w:pPr>
        <w:spacing w:before="156" w:after="156" w:line="360" w:lineRule="auto"/>
        <w:rPr>
          <w:rFonts w:ascii="宋体" w:hAnsi="宋体" w:cs="宋体"/>
          <w:szCs w:val="21"/>
        </w:rPr>
      </w:pPr>
      <w:r>
        <w:rPr>
          <w:rFonts w:hint="eastAsia" w:ascii="宋体" w:hAnsi="宋体" w:cs="宋体"/>
          <w:szCs w:val="21"/>
        </w:rPr>
        <w:t xml:space="preserve">9.1本合同执行中相关的一切税费均由乙方负担。</w:t>
      </w:r>
      <w:r/>
    </w:p>
    <w:p>
      <w:pPr>
        <w:spacing w:before="120" w:after="120" w:line="360" w:lineRule="auto"/>
        <w:rPr>
          <w:rFonts w:ascii="宋体" w:hAnsi="宋体" w:cs="宋体"/>
          <w:b/>
          <w:szCs w:val="21"/>
        </w:rPr>
      </w:pPr>
      <w:r>
        <w:rPr>
          <w:rFonts w:hint="eastAsia" w:ascii="宋体" w:hAnsi="宋体" w:cs="宋体"/>
          <w:b/>
          <w:szCs w:val="21"/>
        </w:rPr>
        <w:t xml:space="preserve">十、项目验收</w:t>
      </w:r>
      <w:r/>
    </w:p>
    <w:p>
      <w:pPr>
        <w:spacing w:before="120" w:after="120" w:line="360" w:lineRule="auto"/>
        <w:rPr>
          <w:rFonts w:ascii="宋体" w:hAnsi="宋体" w:cs="宋体"/>
          <w:szCs w:val="21"/>
        </w:rPr>
      </w:pPr>
      <w:r>
        <w:rPr>
          <w:rFonts w:hint="eastAsia" w:ascii="宋体" w:hAnsi="宋体" w:cs="宋体"/>
          <w:szCs w:val="21"/>
        </w:rPr>
        <w:t xml:space="preserve">10.1 甲方依法组织履约验收工作。</w:t>
      </w:r>
      <w:r/>
    </w:p>
    <w:p>
      <w:pPr>
        <w:spacing w:before="120" w:after="120" w:line="360" w:lineRule="auto"/>
        <w:rPr>
          <w:rFonts w:ascii="宋体" w:hAnsi="宋体" w:cs="宋体"/>
          <w:szCs w:val="21"/>
        </w:rPr>
      </w:pPr>
      <w:r>
        <w:rPr>
          <w:rFonts w:hint="eastAsia" w:ascii="宋体" w:hAnsi="宋体" w:cs="宋体"/>
          <w:szCs w:val="21"/>
        </w:rPr>
        <w:t xml:space="preserve">10.2甲方在组织履约验收前，将根据项目特点制定验收方案，明确履约验收的时间、方式、</w:t>
      </w:r>
      <w:r>
        <w:rPr>
          <w:rFonts w:hint="eastAsia" w:ascii="宋体" w:hAnsi="宋体" w:cs="宋体"/>
          <w:szCs w:val="21"/>
        </w:rPr>
        <w:t xml:space="preserve">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ascii="宋体" w:hAnsi="宋体" w:cs="宋体"/>
          <w:szCs w:val="21"/>
        </w:rPr>
      </w:pPr>
      <w:r>
        <w:rPr>
          <w:rFonts w:hint="eastAsia" w:ascii="宋体" w:hAnsi="宋体" w:cs="宋体"/>
          <w:szCs w:val="21"/>
        </w:rPr>
        <w:t xml:space="preserve">10.3 对于实际使用人和甲方分离的项目，甲方邀请实际使用人参与验收。</w:t>
      </w:r>
      <w:r/>
    </w:p>
    <w:p>
      <w:pPr>
        <w:spacing w:before="120" w:after="120" w:line="360" w:lineRule="auto"/>
        <w:rPr>
          <w:rFonts w:ascii="宋体" w:hAnsi="宋体" w:cs="宋体"/>
          <w:szCs w:val="21"/>
        </w:rPr>
      </w:pPr>
      <w:r>
        <w:rPr>
          <w:rFonts w:hint="eastAsia" w:ascii="宋体" w:hAnsi="宋体" w:cs="宋体"/>
          <w:szCs w:val="21"/>
        </w:rPr>
        <w:t xml:space="preserve">10.4 如有必要，甲方邀请参加本项目的其他供应商或第三方专业机构及专家参与验收，相关意见将作为验收书的参考资料。</w:t>
      </w:r>
      <w:r/>
    </w:p>
    <w:p>
      <w:pPr>
        <w:spacing w:before="120" w:after="120" w:line="360" w:lineRule="auto"/>
        <w:rPr>
          <w:rFonts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360" w:lineRule="auto"/>
        <w:rPr>
          <w:rFonts w:ascii="宋体" w:hAnsi="宋体" w:cs="宋体"/>
          <w:b/>
          <w:szCs w:val="21"/>
        </w:rPr>
      </w:pPr>
      <w:r>
        <w:rPr>
          <w:rFonts w:hint="eastAsia" w:ascii="宋体" w:hAnsi="宋体" w:cs="宋体"/>
          <w:b/>
          <w:szCs w:val="21"/>
        </w:rPr>
        <w:t xml:space="preserve">十一、违约责任</w:t>
      </w:r>
      <w:r/>
    </w:p>
    <w:p>
      <w:pPr>
        <w:spacing w:before="120" w:after="120" w:line="360" w:lineRule="auto"/>
        <w:rPr>
          <w:rFonts w:ascii="宋体" w:hAnsi="宋体" w:cs="宋体"/>
          <w:szCs w:val="21"/>
        </w:rPr>
      </w:pPr>
      <w:r>
        <w:rPr>
          <w:rFonts w:hint="eastAsia" w:ascii="宋体" w:hAnsi="宋体" w:cs="宋体"/>
          <w:szCs w:val="21"/>
        </w:rPr>
        <w:t xml:space="preserve">11.1甲方无正当理由拒绝接受乙方提供的合同标的的，甲方向乙方偿付拒绝接受合同价款总值</w:t>
      </w:r>
      <w:r>
        <w:rPr>
          <w:rFonts w:hint="eastAsia" w:ascii="宋体" w:hAnsi="宋体" w:cs="宋体"/>
          <w:szCs w:val="21"/>
          <w:u w:val="single"/>
        </w:rPr>
        <w:t xml:space="preserve">百分之五</w:t>
      </w:r>
      <w:r>
        <w:rPr>
          <w:rFonts w:hint="eastAsia" w:ascii="宋体" w:hAnsi="宋体" w:cs="宋体"/>
          <w:szCs w:val="21"/>
        </w:rPr>
        <w:t xml:space="preserve">的违约金。</w:t>
      </w:r>
      <w:r/>
    </w:p>
    <w:p>
      <w:pPr>
        <w:spacing w:before="120" w:after="120" w:line="360" w:lineRule="auto"/>
        <w:rPr>
          <w:rFonts w:ascii="宋体" w:hAnsi="宋体" w:cs="宋体"/>
          <w:szCs w:val="21"/>
        </w:rPr>
      </w:pPr>
      <w:r>
        <w:rPr>
          <w:rFonts w:hint="eastAsia" w:ascii="宋体" w:hAnsi="宋体" w:cs="宋体"/>
          <w:szCs w:val="21"/>
        </w:rPr>
        <w:t xml:space="preserve">11.2 甲方无故逾期验收和办理合同款项支付手续的,甲方应按逾期付款总额</w:t>
      </w:r>
      <w:r>
        <w:rPr>
          <w:rFonts w:hint="eastAsia" w:ascii="宋体" w:hAnsi="宋体" w:cs="宋体"/>
          <w:szCs w:val="21"/>
          <w:u w:val="single"/>
        </w:rPr>
        <w:t xml:space="preserve">万分之五</w:t>
      </w:r>
      <w:r>
        <w:rPr>
          <w:rFonts w:hint="eastAsia" w:ascii="宋体" w:hAnsi="宋体" w:cs="宋体"/>
          <w:szCs w:val="21"/>
        </w:rPr>
        <w:t xml:space="preserve">每日向乙方支付违约金。</w:t>
      </w:r>
      <w:r/>
    </w:p>
    <w:p>
      <w:pPr>
        <w:spacing w:before="120" w:after="120" w:line="360" w:lineRule="auto"/>
        <w:rPr>
          <w:rFonts w:ascii="宋体" w:hAnsi="宋体" w:cs="宋体"/>
          <w:szCs w:val="21"/>
        </w:rPr>
      </w:pPr>
      <w:r>
        <w:rPr>
          <w:rFonts w:hint="eastAsia" w:ascii="宋体" w:hAnsi="宋体" w:cs="宋体"/>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Cs w:val="21"/>
          <w:u w:val="single"/>
        </w:rPr>
        <w:t xml:space="preserve">百分之五</w:t>
      </w:r>
      <w:r>
        <w:rPr>
          <w:rFonts w:hint="eastAsia" w:ascii="宋体" w:hAnsi="宋体" w:cs="宋体"/>
          <w:szCs w:val="21"/>
        </w:rPr>
        <w:t xml:space="preserve">的违约金，如造成甲方损失超过违约金的，超出部分由乙方继续承担赔偿责任。 </w:t>
      </w:r>
      <w:r/>
    </w:p>
    <w:p>
      <w:pPr>
        <w:spacing w:before="120" w:after="120" w:line="360" w:lineRule="auto"/>
        <w:rPr>
          <w:rFonts w:ascii="宋体" w:hAnsi="宋体" w:cs="宋体"/>
          <w:szCs w:val="21"/>
        </w:rPr>
      </w:pPr>
      <w:r>
        <w:rPr>
          <w:rFonts w:hint="eastAsia" w:ascii="宋体" w:hAnsi="宋体" w:cs="宋体"/>
          <w:szCs w:val="21"/>
        </w:rPr>
        <w:t xml:space="preserve">11.4 乙方交付合同标的的标准不符合合同规定及磋商文件规定标准的，甲方有权拒绝接受合同标的，并可单方面解除合同。</w:t>
      </w:r>
      <w:r/>
    </w:p>
    <w:p>
      <w:pPr>
        <w:spacing w:before="120" w:after="120" w:line="360" w:lineRule="auto"/>
        <w:rPr>
          <w:rFonts w:ascii="宋体" w:hAnsi="宋体" w:cs="宋体"/>
          <w:b/>
          <w:szCs w:val="21"/>
        </w:rPr>
      </w:pPr>
      <w:r>
        <w:rPr>
          <w:rFonts w:hint="eastAsia" w:ascii="宋体" w:hAnsi="宋体" w:cs="宋体"/>
          <w:b/>
          <w:szCs w:val="21"/>
        </w:rPr>
        <w:t xml:space="preserve">十二、不可抗力事件处理</w:t>
      </w:r>
      <w:r/>
    </w:p>
    <w:p>
      <w:pPr>
        <w:spacing w:before="120" w:after="120" w:line="360" w:lineRule="auto"/>
        <w:rPr>
          <w:rFonts w:ascii="宋体" w:hAnsi="宋体" w:cs="宋体"/>
          <w:szCs w:val="21"/>
        </w:rPr>
      </w:pPr>
      <w:r>
        <w:rPr>
          <w:rFonts w:hint="eastAsia" w:ascii="宋体" w:hAnsi="宋体" w:cs="宋体"/>
          <w:szCs w:val="21"/>
        </w:rPr>
        <w:t xml:space="preserve">12.1 在合同有效期内，任何一方因不可抗力事件导致不能履行合同，则合同履行期可延长，</w:t>
      </w:r>
      <w:r>
        <w:rPr>
          <w:rFonts w:hint="eastAsia" w:ascii="宋体" w:hAnsi="宋体" w:cs="宋体"/>
          <w:szCs w:val="21"/>
        </w:rPr>
        <w:t xml:space="preserve">其延长期与不可抗力影响 期相同。</w:t>
      </w:r>
      <w:r/>
    </w:p>
    <w:p>
      <w:pPr>
        <w:spacing w:before="120" w:after="120" w:line="360" w:lineRule="auto"/>
        <w:rPr>
          <w:rFonts w:ascii="宋体" w:hAnsi="宋体" w:cs="宋体"/>
          <w:szCs w:val="21"/>
        </w:rPr>
      </w:pPr>
      <w:r>
        <w:rPr>
          <w:rFonts w:hint="eastAsia" w:ascii="宋体" w:hAnsi="宋体" w:cs="宋体"/>
          <w:szCs w:val="21"/>
        </w:rPr>
        <w:t xml:space="preserve">12.2 不可抗力事件发生后，应立即通知对方，并寄送有关权威机构出具的证明。</w:t>
      </w:r>
      <w:r/>
    </w:p>
    <w:p>
      <w:pPr>
        <w:spacing w:before="120" w:after="120" w:line="360" w:lineRule="auto"/>
        <w:rPr>
          <w:rFonts w:ascii="宋体" w:hAnsi="宋体" w:cs="宋体"/>
          <w:szCs w:val="21"/>
        </w:rPr>
      </w:pPr>
      <w:r>
        <w:rPr>
          <w:rFonts w:hint="eastAsia" w:ascii="宋体" w:hAnsi="宋体" w:cs="宋体"/>
          <w:szCs w:val="21"/>
        </w:rPr>
        <w:t xml:space="preserve">12.3 不可抗力事件延续120天以上，双方应通过友好协商，确定是否继续履行合同。</w:t>
      </w:r>
      <w:r/>
    </w:p>
    <w:p>
      <w:pPr>
        <w:spacing w:before="120" w:after="120" w:line="360" w:lineRule="auto"/>
        <w:rPr>
          <w:rFonts w:ascii="宋体" w:hAnsi="宋体" w:cs="宋体"/>
          <w:b/>
          <w:szCs w:val="21"/>
        </w:rPr>
      </w:pPr>
      <w:r>
        <w:rPr>
          <w:rFonts w:hint="eastAsia" w:ascii="宋体" w:hAnsi="宋体" w:cs="宋体"/>
          <w:b/>
          <w:szCs w:val="21"/>
        </w:rPr>
        <w:t xml:space="preserve">十三、解决争议的方法</w:t>
      </w:r>
      <w:r/>
    </w:p>
    <w:p>
      <w:pPr>
        <w:spacing w:before="120" w:after="120" w:line="360" w:lineRule="auto"/>
        <w:rPr>
          <w:rFonts w:ascii="宋体" w:hAnsi="宋体" w:cs="宋体"/>
          <w:szCs w:val="21"/>
        </w:rPr>
      </w:pPr>
      <w:r>
        <w:rPr>
          <w:rFonts w:hint="eastAsia" w:ascii="宋体" w:hAnsi="宋体" w:cs="宋体"/>
          <w:szCs w:val="21"/>
        </w:rPr>
        <w:t xml:space="preserve">13.1双方在签订、履行合同中所发生的一切争议，应通过友好协商解决。如协商不成，由甲方住所地人民法院管辖。</w:t>
      </w:r>
      <w:r/>
    </w:p>
    <w:p>
      <w:pPr>
        <w:spacing w:before="120" w:after="120" w:line="360" w:lineRule="auto"/>
        <w:rPr>
          <w:rFonts w:ascii="宋体" w:hAnsi="宋体" w:cs="宋体"/>
          <w:b/>
          <w:szCs w:val="21"/>
        </w:rPr>
      </w:pPr>
      <w:r>
        <w:rPr>
          <w:rFonts w:hint="eastAsia" w:ascii="宋体" w:hAnsi="宋体" w:cs="宋体"/>
          <w:b/>
          <w:szCs w:val="21"/>
        </w:rPr>
        <w:t xml:space="preserve">十四、合同生效及其它</w:t>
      </w:r>
      <w:r/>
    </w:p>
    <w:p>
      <w:pPr>
        <w:spacing w:before="120" w:after="120" w:line="360" w:lineRule="auto"/>
        <w:rPr>
          <w:rFonts w:ascii="宋体" w:hAnsi="宋体" w:cs="宋体"/>
          <w:szCs w:val="21"/>
        </w:rPr>
      </w:pPr>
      <w:r>
        <w:rPr>
          <w:rFonts w:hint="eastAsia" w:ascii="宋体" w:hAnsi="宋体" w:cs="宋体"/>
          <w:szCs w:val="21"/>
        </w:rPr>
        <w:t xml:space="preserve">14.1 合同经双方法定代表人或授权委托代表人签字并加盖单位公章后生效。</w:t>
      </w:r>
      <w:r/>
    </w:p>
    <w:p>
      <w:pPr>
        <w:spacing w:before="120" w:after="120" w:line="360" w:lineRule="auto"/>
        <w:rPr>
          <w:rFonts w:ascii="宋体" w:hAnsi="宋体" w:cs="宋体"/>
          <w:szCs w:val="21"/>
        </w:rPr>
      </w:pPr>
      <w:r>
        <w:rPr>
          <w:rFonts w:hint="eastAsia" w:ascii="宋体" w:hAnsi="宋体" w:cs="宋体"/>
          <w:szCs w:val="21"/>
        </w:rPr>
        <w:t xml:space="preserve">14.2本合同未尽事宜，遵照《民法典》、《政府采购法》有关条文执行。</w:t>
      </w:r>
      <w:r/>
    </w:p>
    <w:p>
      <w:pPr>
        <w:spacing w:before="120" w:after="120" w:line="360" w:lineRule="auto"/>
        <w:rPr>
          <w:rFonts w:ascii="宋体" w:hAnsi="宋体" w:cs="宋体"/>
          <w:sz w:val="24"/>
          <w:szCs w:val="24"/>
        </w:rPr>
      </w:pPr>
      <w:r>
        <w:rPr>
          <w:rFonts w:hint="eastAsia" w:ascii="宋体" w:hAnsi="宋体" w:cs="宋体"/>
          <w:szCs w:val="21"/>
        </w:rPr>
        <w:t xml:space="preserve">14.3 本合同正本一式四份，具有同等法律效力，甲方、乙方、见证方及财政监管部门各执一份。</w:t>
      </w:r>
      <w:r/>
    </w:p>
    <w:p>
      <w:pPr>
        <w:ind w:firstLine="480"/>
        <w:spacing w:line="500" w:lineRule="exact"/>
        <w:rPr>
          <w:rFonts w:ascii="宋体" w:hAnsi="宋体" w:cs="宋体"/>
          <w:bCs/>
          <w:sz w:val="24"/>
          <w:szCs w:val="21"/>
        </w:rPr>
      </w:pPr>
      <w:r>
        <w:rPr>
          <w:rFonts w:ascii="宋体" w:hAnsi="宋体" w:cs="宋体"/>
          <w:bCs/>
          <w:sz w:val="24"/>
          <w:szCs w:val="21"/>
        </w:rPr>
      </w:r>
      <w:r/>
    </w:p>
    <w:tbl>
      <w:tblPr>
        <w:tblW w:w="8522" w:type="dxa"/>
        <w:jc w:val="center"/>
        <w:tblLayout w:type="fixed"/>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甲方：扬州市中医院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cs="宋体"/>
                <w:szCs w:val="21"/>
              </w:rPr>
            </w:pPr>
            <w:r>
              <w:rPr>
                <w:rFonts w:hint="eastAsia" w:ascii="宋体" w:hAnsi="宋体" w:cs="宋体"/>
                <w:szCs w:val="21"/>
              </w:rPr>
              <w:t xml:space="preserve">日期：      年    月    日</w:t>
            </w:r>
            <w:r/>
          </w:p>
        </w:tc>
      </w:tr>
    </w:tbl>
    <w:p>
      <w:pPr>
        <w:ind w:firstLine="210"/>
        <w:spacing w:before="120" w:after="120" w:line="360" w:lineRule="auto"/>
        <w:rPr>
          <w:rFonts w:ascii="宋体" w:hAnsi="宋体" w:cs="宋体"/>
          <w:szCs w:val="21"/>
        </w:rPr>
      </w:pPr>
      <w:r>
        <w:rPr>
          <w:rFonts w:hint="eastAsia" w:ascii="宋体" w:hAnsi="宋体" w:cs="宋体"/>
          <w:szCs w:val="21"/>
        </w:rPr>
        <w:t xml:space="preserve">见证方：江苏汇诚投资咨询管理有限公司</w:t>
      </w:r>
      <w:r/>
    </w:p>
    <w:p>
      <w:pPr>
        <w:ind w:firstLine="210"/>
        <w:spacing w:before="120" w:after="120" w:line="360" w:lineRule="auto"/>
        <w:rPr>
          <w:rFonts w:ascii="宋体" w:hAnsi="宋体" w:cs="宋体"/>
          <w:szCs w:val="21"/>
        </w:rPr>
      </w:pPr>
      <w:r>
        <w:rPr>
          <w:rFonts w:hint="eastAsia" w:ascii="宋体" w:hAnsi="宋体" w:cs="宋体"/>
          <w:szCs w:val="21"/>
        </w:rPr>
        <w:t xml:space="preserve">项目经办人：</w:t>
      </w:r>
      <w:r/>
    </w:p>
    <w:p>
      <w:pPr>
        <w:ind w:firstLine="210"/>
        <w:spacing w:before="120" w:after="120" w:line="360" w:lineRule="auto"/>
        <w:rPr>
          <w:rFonts w:ascii="宋体" w:hAnsi="宋体" w:cs="宋体"/>
          <w:szCs w:val="21"/>
        </w:rPr>
      </w:pPr>
      <w:r>
        <w:rPr>
          <w:rFonts w:hint="eastAsia" w:ascii="宋体" w:hAnsi="宋体" w:cs="宋体"/>
          <w:szCs w:val="21"/>
        </w:rPr>
        <w:t xml:space="preserve">日期：     年   月   日</w:t>
      </w:r>
      <w:r/>
    </w:p>
    <w:p>
      <w:pPr>
        <w:pStyle w:val="757"/>
        <w:ind w:firstLine="210"/>
        <w:spacing w:before="120" w:after="120" w:line="360" w:lineRule="auto"/>
        <w:rPr>
          <w:rFonts w:hAnsi="宋体"/>
          <w:sz w:val="21"/>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Ansi="宋体"/>
          <w:sz w:val="21"/>
        </w:rPr>
      </w:r>
      <w:r/>
    </w:p>
    <w:p>
      <w:pPr>
        <w:pStyle w:val="743"/>
        <w:numPr>
          <w:ilvl w:val="0"/>
          <w:numId w:val="6"/>
        </w:numPr>
        <w:jc w:val="center"/>
        <w:spacing w:line="360" w:lineRule="auto"/>
        <w:rPr>
          <w:rFonts w:ascii="宋体" w:hAnsi="宋体"/>
        </w:rPr>
      </w:pPr>
      <w:r/>
      <w:bookmarkStart w:id="57" w:name="_Toc191970192"/>
      <w:r/>
      <w:bookmarkEnd w:id="56"/>
      <w:r>
        <w:rPr>
          <w:rFonts w:hint="eastAsia" w:ascii="宋体" w:hAnsi="宋体"/>
        </w:rPr>
        <w:t xml:space="preserve">项目需求</w:t>
      </w:r>
      <w:bookmarkEnd w:id="57"/>
      <w:r/>
      <w:r/>
    </w:p>
    <w:p>
      <w:pPr>
        <w:spacing w:line="360" w:lineRule="auto"/>
        <w:rPr>
          <w:rFonts w:ascii="宋体" w:hAnsi="宋体" w:cs="宋体"/>
          <w:b/>
          <w:bCs/>
        </w:rPr>
      </w:pPr>
      <w:r/>
      <w:bookmarkStart w:id="58" w:name="_Toc319408306"/>
      <w:r>
        <w:rPr>
          <w:rFonts w:hint="eastAsia" w:ascii="宋体" w:hAnsi="宋体" w:cs="宋体"/>
          <w:b/>
          <w:bCs/>
        </w:rPr>
        <w:t xml:space="preserve">注： 本章内容里斜体且有下划线部分为实质性要求和条件，投标文件不满足的，视为无效投标处理。</w:t>
      </w:r>
      <w:bookmarkEnd w:id="58"/>
      <w:r/>
      <w:r/>
    </w:p>
    <w:p>
      <w:pPr>
        <w:ind w:firstLine="422"/>
        <w:jc w:val="left"/>
        <w:spacing w:line="360" w:lineRule="auto"/>
        <w:rPr>
          <w:rFonts w:ascii="宋体" w:hAnsi="宋体"/>
          <w:b/>
          <w:bCs/>
          <w:szCs w:val="21"/>
        </w:rPr>
      </w:pPr>
      <w:r>
        <w:rPr>
          <w:rFonts w:hint="eastAsia" w:ascii="宋体" w:hAnsi="宋体" w:cs="宋体"/>
          <w:b/>
          <w:bCs/>
          <w:szCs w:val="21"/>
        </w:rPr>
        <w:t xml:space="preserve">一、服务范围、内容</w:t>
      </w:r>
      <w:r/>
    </w:p>
    <w:p>
      <w:pPr>
        <w:ind w:firstLine="420"/>
        <w:jc w:val="left"/>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、服务范围：翠岗路400号扬州市中医院(真州路院区)。</w:t>
      </w:r>
      <w:r/>
    </w:p>
    <w:p>
      <w:pPr>
        <w:ind w:firstLine="420"/>
        <w:jc w:val="left"/>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、服务内容：</w:t>
      </w:r>
      <w:r/>
    </w:p>
    <w:p>
      <w:pPr>
        <w:ind w:firstLine="420"/>
        <w:jc w:val="left"/>
        <w:spacing w:line="360" w:lineRule="auto"/>
        <w:rPr>
          <w:rFonts w:ascii="宋体" w:hAnsi="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）以保护服务区域内人财物安全为目的秩序管理、安全管理、消防管理、警务室值班管理等；</w:t>
      </w:r>
      <w:r/>
    </w:p>
    <w:p>
      <w:pPr>
        <w:numPr>
          <w:ilvl w:val="0"/>
          <w:numId w:val="7"/>
        </w:numPr>
        <w:ind w:firstLine="420"/>
        <w:jc w:val="left"/>
        <w:spacing w:line="360" w:lineRule="auto"/>
        <w:rPr>
          <w:rFonts w:ascii="宋体" w:hAnsi="宋体" w:cs="宋体"/>
          <w:szCs w:val="21"/>
        </w:rPr>
      </w:pPr>
      <w:r>
        <w:rPr>
          <w:rFonts w:hint="eastAsia" w:ascii="宋体" w:hAnsi="宋体" w:cs="宋体"/>
          <w:szCs w:val="21"/>
        </w:rPr>
        <w:t xml:space="preserve">门诊、急诊、住院、</w:t>
      </w:r>
      <w:bookmarkStart w:id="59" w:name="_GoBack"/>
      <w:r/>
      <w:bookmarkEnd w:id="59"/>
      <w:r>
        <w:rPr>
          <w:rFonts w:hint="eastAsia" w:ascii="宋体" w:hAnsi="宋体" w:cs="宋体"/>
          <w:szCs w:val="21"/>
        </w:rPr>
        <w:t xml:space="preserve">机动车和行人入口秩序管理；院内车辆、行人的秩序管理，并按“门前三包”要求做好出入口的秩序等安全管理。</w:t>
      </w:r>
      <w:r/>
    </w:p>
    <w:p>
      <w:pPr>
        <w:ind w:firstLine="420"/>
        <w:jc w:val="left"/>
        <w:spacing w:line="360" w:lineRule="auto"/>
        <w:rPr>
          <w:rFonts w:ascii="宋体" w:hAnsi="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）医院消控室24小时双人值班管理；</w:t>
      </w:r>
      <w:r/>
    </w:p>
    <w:p>
      <w:pPr>
        <w:ind w:firstLine="420"/>
        <w:jc w:val="left"/>
        <w:spacing w:line="360" w:lineRule="auto"/>
        <w:rPr>
          <w:rFonts w:ascii="宋体" w:hAnsi="宋体" w:cs="宋体"/>
          <w:szCs w:val="21"/>
        </w:rPr>
      </w:pPr>
      <w:r>
        <w:rPr>
          <w:rFonts w:hint="eastAsia" w:ascii="宋体" w:hAnsi="宋体" w:cs="宋体"/>
          <w:szCs w:val="21"/>
        </w:rPr>
        <w:t xml:space="preserve">（4）医院液氧站巡查和协助管理工作；</w:t>
      </w:r>
      <w:r/>
    </w:p>
    <w:p>
      <w:pPr>
        <w:ind w:firstLine="420"/>
        <w:jc w:val="left"/>
        <w:spacing w:line="360" w:lineRule="auto"/>
        <w:rPr>
          <w:rFonts w:ascii="宋体" w:hAnsi="宋体"/>
          <w:szCs w:val="21"/>
        </w:rPr>
      </w:pPr>
      <w:r>
        <w:rPr>
          <w:rFonts w:hint="eastAsia" w:ascii="宋体" w:hAnsi="宋体" w:cs="宋体"/>
          <w:szCs w:val="21"/>
        </w:rPr>
        <w:t xml:space="preserve">（5）院内区域内车辆（机动车和非机动车）停放引导及场所管理；</w:t>
      </w:r>
      <w:r/>
    </w:p>
    <w:p>
      <w:pPr>
        <w:ind w:firstLine="420"/>
        <w:jc w:val="left"/>
        <w:spacing w:line="360" w:lineRule="auto"/>
        <w:rPr>
          <w:rFonts w:ascii="宋体" w:hAnsi="宋体" w:cs="宋体"/>
          <w:szCs w:val="21"/>
        </w:rPr>
      </w:pPr>
      <w:r>
        <w:rPr>
          <w:rFonts w:hint="eastAsia" w:ascii="宋体" w:hAnsi="宋体" w:cs="宋体"/>
          <w:szCs w:val="21"/>
        </w:rPr>
        <w:t xml:space="preserve">（6）区域内服务场所所有消防、安保、停车设施设备的使用管理；</w:t>
      </w:r>
      <w:r/>
    </w:p>
    <w:p>
      <w:pPr>
        <w:ind w:firstLine="420"/>
        <w:jc w:val="left"/>
        <w:spacing w:line="360" w:lineRule="auto"/>
        <w:rPr>
          <w:rFonts w:ascii="宋体" w:hAnsi="宋体"/>
          <w:szCs w:val="21"/>
        </w:rPr>
      </w:pPr>
      <w:r>
        <w:rPr>
          <w:rFonts w:hint="eastAsia" w:ascii="宋体" w:hAnsi="宋体" w:cs="宋体"/>
          <w:szCs w:val="21"/>
        </w:rPr>
        <w:t xml:space="preserve">（7）机动车离场收费管理；（所收费用归采购人所有，不与服务单位分成。）</w:t>
      </w:r>
      <w:r/>
    </w:p>
    <w:p>
      <w:pPr>
        <w:ind w:firstLine="420"/>
        <w:jc w:val="left"/>
        <w:spacing w:line="360" w:lineRule="auto"/>
        <w:rPr>
          <w:rFonts w:ascii="宋体" w:hAnsi="宋体"/>
          <w:szCs w:val="21"/>
        </w:rPr>
      </w:pPr>
      <w:r>
        <w:rPr>
          <w:rFonts w:hint="eastAsia" w:ascii="宋体" w:hAnsi="宋体" w:cs="宋体"/>
          <w:szCs w:val="21"/>
        </w:rPr>
        <w:t xml:space="preserve">（8）区域内服务场所各类的应急事件、突发事件处置及应急预案的培训演练、；</w:t>
      </w:r>
      <w:r/>
    </w:p>
    <w:p>
      <w:pPr>
        <w:ind w:firstLine="420"/>
        <w:jc w:val="left"/>
        <w:spacing w:line="360" w:lineRule="auto"/>
        <w:rPr>
          <w:rFonts w:ascii="宋体" w:hAnsi="宋体"/>
          <w:szCs w:val="21"/>
        </w:rPr>
      </w:pPr>
      <w:r>
        <w:rPr>
          <w:rFonts w:hint="eastAsia" w:ascii="宋体" w:hAnsi="宋体" w:cs="宋体"/>
          <w:szCs w:val="21"/>
        </w:rPr>
        <w:t xml:space="preserve">（9）采购人委托的其他管理服务事项。</w:t>
      </w:r>
      <w:r/>
    </w:p>
    <w:p>
      <w:pPr>
        <w:ind w:firstLine="422"/>
        <w:jc w:val="left"/>
        <w:spacing w:line="360" w:lineRule="auto"/>
        <w:rPr>
          <w:rFonts w:ascii="宋体" w:hAnsi="宋体"/>
          <w:b/>
          <w:bCs/>
          <w:szCs w:val="21"/>
        </w:rPr>
      </w:pPr>
      <w:r>
        <w:rPr>
          <w:rFonts w:hint="eastAsia" w:ascii="宋体" w:hAnsi="宋体" w:cs="宋体"/>
          <w:b/>
          <w:bCs/>
          <w:szCs w:val="21"/>
        </w:rPr>
        <w:t xml:space="preserve">二、服务期及管理费用</w:t>
      </w:r>
      <w:r/>
    </w:p>
    <w:p>
      <w:pPr>
        <w:ind w:firstLine="420"/>
        <w:jc w:val="left"/>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、自合同签订之日起二年。</w:t>
      </w:r>
      <w:r/>
    </w:p>
    <w:p>
      <w:pPr>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、装备费、耗材费说明</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报价除另有约定外，应含有完成招标文件规定的服务工作所涉及到的一切相关费用。包括但不限于人员工资、法定的社会保险、医疗保险、管理费、税费、员工福利（包括高温费、节日费、奖金等）、加班费（法定节假日加班费，不含特殊加班费）、设备器材折旧维护费用、办公用品费用、服装、食宿与交通、意外险、安全、仓储、运输、利润，并承担一切风险责任及其他不可预见费等。</w:t>
      </w:r>
      <w:r/>
    </w:p>
    <w:p>
      <w:pPr>
        <w:ind w:firstLine="420"/>
        <w:jc w:val="left"/>
        <w:spacing w:line="360" w:lineRule="auto"/>
        <w:rPr>
          <w:rFonts w:ascii="宋体" w:hAnsi="宋体" w:cs="宋体"/>
          <w:szCs w:val="21"/>
        </w:rPr>
      </w:pPr>
      <w:r>
        <w:rPr>
          <w:rFonts w:ascii="宋体" w:hAnsi="宋体" w:cs="宋体"/>
          <w:szCs w:val="21"/>
        </w:rPr>
        <w:t xml:space="preserve">合同期限内，如因劳动部门提高扬州市区从业人员最低工资标准或社会保险基数，其差额部分及相关税管费等由采购人按月给付中标人。</w:t>
      </w:r>
      <w:r/>
    </w:p>
    <w:p>
      <w:pPr>
        <w:ind w:firstLine="422"/>
        <w:spacing w:line="360" w:lineRule="auto"/>
        <w:rPr>
          <w:rFonts w:ascii="宋体" w:hAnsi="宋体" w:cs="Calibri"/>
          <w:szCs w:val="21"/>
        </w:rPr>
      </w:pPr>
      <w:r>
        <w:rPr>
          <w:rFonts w:hint="eastAsia" w:ascii="宋体" w:hAnsi="宋体" w:cs="Calibri"/>
          <w:b/>
          <w:bCs/>
          <w:iCs/>
          <w:szCs w:val="21"/>
        </w:rPr>
        <w:t xml:space="preserve">（2）</w:t>
      </w:r>
      <w:r>
        <w:rPr>
          <w:rFonts w:ascii="宋体" w:hAnsi="宋体" w:cs="Calibri"/>
          <w:b/>
          <w:bCs/>
          <w:iCs/>
          <w:szCs w:val="21"/>
        </w:rPr>
        <w:t xml:space="preserve">投标人需制定员工薪酬、福利待遇、权益保障方案</w:t>
      </w:r>
      <w:r>
        <w:rPr>
          <w:rFonts w:ascii="宋体" w:hAnsi="宋体" w:cs="Calibri"/>
          <w:bCs/>
          <w:iCs/>
          <w:szCs w:val="21"/>
        </w:rPr>
        <w:t xml:space="preserve">以保证员工队伍稳定。</w:t>
      </w:r>
      <w:r>
        <w:rPr>
          <w:rFonts w:ascii="宋体" w:hAnsi="宋体" w:cs="Calibri"/>
          <w:bCs/>
          <w:i/>
          <w:iCs/>
          <w:szCs w:val="21"/>
          <w:u w:val="single"/>
        </w:rPr>
        <w:t xml:space="preserve">符合法</w:t>
      </w:r>
      <w:r>
        <w:rPr>
          <w:rFonts w:ascii="宋体" w:hAnsi="宋体" w:cs="Calibri"/>
          <w:bCs/>
          <w:i/>
          <w:iCs/>
          <w:szCs w:val="21"/>
          <w:u w:val="single"/>
        </w:rPr>
        <w:t xml:space="preserve">定条件的人员的社保依法缴纳率100%，投标人在投标时应按照100%社保缴纳率投标报价。履约期间，中标人根据采购人需求调整服务人员数量，调整人员后需提交交保人数明细及相关依据，采购人根据实际交保人数支付相应费用。</w:t>
      </w:r>
      <w:r>
        <w:rPr>
          <w:rFonts w:ascii="宋体" w:hAnsi="宋体" w:cs="Calibri"/>
          <w:szCs w:val="21"/>
        </w:rPr>
        <w:t xml:space="preserve">在合同生效</w:t>
      </w:r>
      <w:r>
        <w:rPr>
          <w:rFonts w:hint="eastAsia" w:ascii="宋体" w:hAnsi="宋体" w:cs="Calibri"/>
          <w:szCs w:val="21"/>
        </w:rPr>
        <w:t xml:space="preserve">并</w:t>
      </w:r>
      <w:r>
        <w:rPr>
          <w:rFonts w:ascii="宋体" w:hAnsi="宋体" w:cs="Calibri"/>
          <w:szCs w:val="21"/>
        </w:rPr>
        <w:t xml:space="preserve">完成交接后开始计算服务期。根据先提供服务后支付原则，经采购人</w:t>
      </w:r>
      <w:r>
        <w:rPr>
          <w:rFonts w:hint="eastAsia" w:ascii="宋体" w:hAnsi="宋体" w:cs="Calibri"/>
          <w:szCs w:val="21"/>
        </w:rPr>
        <w:t xml:space="preserve">按期考核</w:t>
      </w:r>
      <w:r>
        <w:rPr>
          <w:rFonts w:ascii="宋体" w:hAnsi="宋体" w:cs="Calibri"/>
          <w:szCs w:val="21"/>
        </w:rPr>
        <w:t xml:space="preserve">合格后，按实际人员数量、需缴纳社保人员数量、种类、服务内容支付上月服务费（结算前乙方需向甲方提供正式税务发票）。投标人需严格执行《中华人民共和国劳动法》，保障员工合法权益，如发生由劳动部门查实的违法违规行为，根据查实情况处罚。</w:t>
      </w:r>
      <w:r/>
    </w:p>
    <w:p>
      <w:pPr>
        <w:ind w:firstLine="420"/>
        <w:spacing w:line="360" w:lineRule="auto"/>
        <w:rPr>
          <w:rFonts w:ascii="宋体" w:hAnsi="宋体" w:cs="Calibri"/>
          <w:szCs w:val="21"/>
        </w:rPr>
      </w:pPr>
      <w:r>
        <w:rPr>
          <w:rFonts w:hint="eastAsia" w:ascii="宋体" w:hAnsi="宋体" w:cs="Calibri"/>
          <w:szCs w:val="21"/>
          <w:highlight w:val="yellow"/>
        </w:rPr>
        <w:t xml:space="preserve">（3）投标人应具备科技信息化管理平台和调度设备（费用由投标人承担），为医院安保管理服务提供科技信息化服务支撑，包含利用信息化方式提供实时信息传送、监管管理、联动保障等支撑服务等。如配备足额的通讯和执法记录仪等设备，有应急通讯录，保证指挥信息传达通畅等。</w:t>
      </w:r>
      <w:r/>
    </w:p>
    <w:p>
      <w:pPr>
        <w:ind w:firstLine="420"/>
        <w:spacing w:line="360" w:lineRule="auto"/>
        <w:rPr>
          <w:rFonts w:ascii="宋体" w:hAnsi="宋体" w:cs="Calibri"/>
          <w:szCs w:val="21"/>
        </w:rPr>
      </w:pPr>
      <w:r>
        <w:rPr>
          <w:rFonts w:hint="eastAsia" w:ascii="宋体" w:hAnsi="宋体" w:cs="Calibri"/>
          <w:szCs w:val="21"/>
        </w:rPr>
        <w:t xml:space="preserve">3、合同履行期间，采购人有权根据实际需求调整服务人数，所有人员需求的变更以书面的形式通知供应商，供应商应在接到通知后及时调整，最终结算按实际服务人员数量按实结算。</w:t>
      </w:r>
      <w:r/>
    </w:p>
    <w:p>
      <w:pPr>
        <w:ind w:left="420"/>
        <w:spacing w:line="360" w:lineRule="auto"/>
        <w:rPr>
          <w:rFonts w:ascii="宋体" w:hAnsi="宋体" w:cs="Calibri"/>
          <w:szCs w:val="21"/>
        </w:rPr>
      </w:pPr>
      <w:r>
        <w:rPr>
          <w:rFonts w:hint="eastAsia" w:ascii="宋体" w:hAnsi="宋体" w:cs="Calibri"/>
          <w:b/>
          <w:bCs/>
          <w:iCs/>
          <w:szCs w:val="21"/>
        </w:rPr>
        <w:t xml:space="preserve">三、服务要求</w:t>
      </w:r>
      <w:r/>
    </w:p>
    <w:p>
      <w:pPr>
        <w:ind w:firstLine="420"/>
        <w:spacing w:line="360" w:lineRule="auto"/>
        <w:rPr>
          <w:rFonts w:ascii="宋体" w:hAnsi="宋体" w:cs="Calibri"/>
          <w:b/>
          <w:bCs/>
          <w:i/>
          <w:iCs/>
          <w:szCs w:val="21"/>
          <w:u w:val="single"/>
        </w:rPr>
      </w:pPr>
      <w:r>
        <w:rPr>
          <w:rFonts w:hint="eastAsia" w:ascii="宋体" w:hAnsi="宋体" w:cs="Calibri"/>
          <w:bCs/>
          <w:i/>
          <w:iCs/>
          <w:szCs w:val="21"/>
          <w:u w:val="single"/>
        </w:rPr>
        <w:t xml:space="preserve">1、</w:t>
      </w:r>
      <w:r>
        <w:rPr>
          <w:rFonts w:ascii="宋体" w:hAnsi="宋体" w:cs="Calibri"/>
          <w:bCs/>
          <w:i/>
          <w:iCs/>
          <w:szCs w:val="21"/>
          <w:u w:val="single"/>
        </w:rPr>
        <w:t xml:space="preserve">投标人需制定项目的启动</w:t>
      </w:r>
      <w:r>
        <w:rPr>
          <w:rFonts w:hint="eastAsia" w:ascii="宋体" w:hAnsi="宋体" w:cs="Calibri"/>
          <w:bCs/>
          <w:i/>
          <w:iCs/>
          <w:szCs w:val="21"/>
          <w:u w:val="single"/>
        </w:rPr>
        <w:t xml:space="preserve">方案</w:t>
      </w:r>
      <w:r>
        <w:rPr>
          <w:rFonts w:ascii="宋体" w:hAnsi="宋体" w:cs="Calibri"/>
          <w:bCs/>
          <w:i/>
          <w:iCs/>
          <w:szCs w:val="21"/>
          <w:u w:val="single"/>
        </w:rPr>
        <w:t xml:space="preserve">，内容包括且不限于</w:t>
      </w:r>
      <w:r>
        <w:rPr>
          <w:rFonts w:hint="eastAsia" w:ascii="宋体" w:hAnsi="宋体" w:cs="Calibri"/>
          <w:bCs/>
          <w:i/>
          <w:iCs/>
          <w:szCs w:val="21"/>
          <w:u w:val="single"/>
        </w:rPr>
        <w:t xml:space="preserve">：</w:t>
      </w:r>
      <w:r>
        <w:rPr>
          <w:rFonts w:ascii="宋体" w:hAnsi="宋体" w:cs="Calibri"/>
          <w:i/>
          <w:iCs/>
          <w:szCs w:val="21"/>
          <w:u w:val="single"/>
        </w:rPr>
        <w:t xml:space="preserve">投标人承诺</w:t>
      </w:r>
      <w:r>
        <w:rPr>
          <w:rFonts w:hint="eastAsia" w:ascii="宋体" w:hAnsi="宋体" w:cs="Calibri"/>
          <w:i/>
          <w:iCs/>
          <w:szCs w:val="21"/>
          <w:u w:val="single"/>
        </w:rPr>
        <w:t xml:space="preserve">本</w:t>
      </w:r>
      <w:r>
        <w:rPr>
          <w:rFonts w:ascii="宋体" w:hAnsi="宋体" w:cs="Calibri"/>
          <w:i/>
          <w:iCs/>
          <w:szCs w:val="21"/>
          <w:u w:val="single"/>
        </w:rPr>
        <w:t xml:space="preserve">项目启动时，必须自行按国家相关法律法规和合同要求招录所有用工人员，并</w:t>
      </w:r>
      <w:r>
        <w:rPr>
          <w:rFonts w:hint="eastAsia" w:ascii="宋体" w:hAnsi="宋体" w:cs="Calibri"/>
          <w:bCs/>
          <w:i/>
          <w:iCs/>
          <w:szCs w:val="21"/>
          <w:u w:val="single"/>
        </w:rPr>
        <w:t xml:space="preserve">根据合同明确</w:t>
      </w:r>
      <w:r>
        <w:rPr>
          <w:rFonts w:ascii="宋体" w:hAnsi="宋体" w:cs="Calibri"/>
          <w:bCs/>
          <w:i/>
          <w:iCs/>
          <w:szCs w:val="21"/>
          <w:u w:val="single"/>
        </w:rPr>
        <w:t xml:space="preserve">人员全部到位时间等；</w:t>
      </w:r>
      <w:r>
        <w:rPr>
          <w:rFonts w:ascii="宋体" w:hAnsi="宋体" w:cs="Calibri"/>
          <w:i/>
          <w:iCs/>
          <w:szCs w:val="21"/>
          <w:u w:val="single"/>
        </w:rPr>
        <w:t xml:space="preserve">做好财、物、台账交接工作，不得影响医院正常运转</w:t>
      </w:r>
      <w:r>
        <w:rPr>
          <w:rFonts w:hint="eastAsia" w:ascii="宋体" w:hAnsi="宋体" w:cs="Calibri"/>
          <w:i/>
          <w:iCs/>
          <w:szCs w:val="21"/>
          <w:u w:val="single"/>
        </w:rPr>
        <w:t xml:space="preserve">；</w:t>
      </w:r>
      <w:r>
        <w:rPr>
          <w:rFonts w:ascii="宋体" w:hAnsi="宋体" w:cs="Calibri"/>
          <w:i/>
          <w:iCs/>
          <w:szCs w:val="21"/>
          <w:u w:val="single"/>
        </w:rPr>
        <w:t xml:space="preserve">本次招标产生新的中标人，中标人须自中标通知书发出之日起，应积极与采购人原</w:t>
      </w:r>
      <w:r>
        <w:rPr>
          <w:rFonts w:hint="eastAsia" w:ascii="宋体" w:hAnsi="宋体" w:cs="Calibri"/>
          <w:i/>
          <w:iCs/>
          <w:szCs w:val="21"/>
          <w:u w:val="single"/>
        </w:rPr>
        <w:t xml:space="preserve">保安</w:t>
      </w:r>
      <w:r>
        <w:rPr>
          <w:rFonts w:ascii="宋体" w:hAnsi="宋体" w:cs="Calibri"/>
          <w:i/>
          <w:iCs/>
          <w:szCs w:val="21"/>
          <w:u w:val="single"/>
        </w:rPr>
        <w:t xml:space="preserve">公司联系协商，并在10-15天完成与原</w:t>
      </w:r>
      <w:r>
        <w:rPr>
          <w:rFonts w:hint="eastAsia" w:ascii="宋体" w:hAnsi="宋体" w:cs="Calibri"/>
          <w:i/>
          <w:iCs/>
          <w:szCs w:val="21"/>
          <w:u w:val="single"/>
        </w:rPr>
        <w:t xml:space="preserve">保安服务</w:t>
      </w:r>
      <w:r>
        <w:rPr>
          <w:rFonts w:ascii="宋体" w:hAnsi="宋体" w:cs="Calibri"/>
          <w:i/>
          <w:iCs/>
          <w:szCs w:val="21"/>
          <w:u w:val="single"/>
        </w:rPr>
        <w:t xml:space="preserve">公司的交接工作，中标人主管人员应在正式履约前10-15天内进场跟进、学习组织运营，确保在正式履约时不影响采购人原有的医疗秩序。</w:t>
      </w:r>
      <w:r>
        <w:rPr>
          <w:rFonts w:ascii="宋体" w:hAnsi="宋体" w:cs="Calibri"/>
          <w:b/>
          <w:bCs/>
          <w:i/>
          <w:iCs/>
          <w:szCs w:val="21"/>
          <w:u w:val="single"/>
        </w:rPr>
        <w:t xml:space="preserve">（须提供承诺函，</w:t>
      </w:r>
      <w:r>
        <w:rPr>
          <w:rFonts w:ascii="宋体" w:hAnsi="宋体" w:cs="Calibri"/>
          <w:b/>
          <w:i/>
          <w:iCs/>
          <w:szCs w:val="21"/>
          <w:u w:val="single"/>
        </w:rPr>
        <w:t xml:space="preserve">原件</w:t>
      </w:r>
      <w:r>
        <w:rPr>
          <w:rFonts w:ascii="宋体" w:hAnsi="宋体" w:cs="Calibri"/>
          <w:b/>
          <w:bCs/>
          <w:i/>
          <w:iCs/>
          <w:szCs w:val="21"/>
          <w:u w:val="single"/>
        </w:rPr>
        <w:t xml:space="preserve">扫描上传）</w:t>
      </w:r>
      <w:r/>
    </w:p>
    <w:p>
      <w:pPr>
        <w:ind w:firstLine="420"/>
        <w:spacing w:line="360" w:lineRule="auto"/>
        <w:rPr>
          <w:rFonts w:ascii="宋体" w:hAnsi="宋体" w:cs="Calibri"/>
          <w:i/>
          <w:iCs/>
          <w:szCs w:val="21"/>
          <w:u w:val="single"/>
        </w:rPr>
      </w:pPr>
      <w:r>
        <w:rPr>
          <w:rFonts w:ascii="宋体" w:hAnsi="宋体" w:cs="Calibri"/>
          <w:bCs/>
          <w:iCs/>
          <w:szCs w:val="21"/>
        </w:rPr>
        <w:t xml:space="preserve">注意：中标后一旦出现承诺未执行到位并且影响采购人正常有序工作，采购人有权根据相关法律法规进行处理。</w:t>
      </w:r>
      <w:r/>
    </w:p>
    <w:p>
      <w:pPr>
        <w:ind w:firstLine="420"/>
        <w:spacing w:line="360" w:lineRule="auto"/>
        <w:rPr>
          <w:rFonts w:ascii="宋体" w:hAnsi="宋体" w:cs="Calibri"/>
          <w:szCs w:val="21"/>
        </w:rPr>
      </w:pPr>
      <w:r>
        <w:rPr>
          <w:rFonts w:hint="eastAsia" w:ascii="宋体" w:hAnsi="宋体" w:cs="Calibri"/>
          <w:bCs/>
          <w:szCs w:val="21"/>
        </w:rPr>
        <w:t xml:space="preserve">2、</w:t>
      </w:r>
      <w:r>
        <w:rPr>
          <w:rFonts w:ascii="宋体" w:hAnsi="宋体" w:cs="Calibri"/>
          <w:bCs/>
          <w:szCs w:val="21"/>
        </w:rPr>
        <w:t xml:space="preserve">投标人需制定详尽的本项目工作组织实施方案，包括</w:t>
      </w:r>
      <w:r>
        <w:rPr>
          <w:rFonts w:hint="eastAsia" w:ascii="宋体" w:hAnsi="宋体" w:cs="Calibri"/>
          <w:szCs w:val="21"/>
        </w:rPr>
        <w:t xml:space="preserve">制定各类工作制度，如</w:t>
      </w:r>
      <w:r>
        <w:rPr>
          <w:rFonts w:ascii="宋体" w:hAnsi="宋体" w:cs="Calibri"/>
          <w:iCs/>
          <w:szCs w:val="21"/>
        </w:rPr>
        <w:t xml:space="preserve">安全管理制度、质量保证制度、考核奖惩制度、员工安全防护制</w:t>
      </w:r>
      <w:r>
        <w:rPr>
          <w:rFonts w:hint="eastAsia" w:ascii="宋体" w:hAnsi="宋体" w:cs="Calibri"/>
          <w:iCs/>
          <w:szCs w:val="21"/>
        </w:rPr>
        <w:t xml:space="preserve">度、</w:t>
      </w:r>
      <w:r>
        <w:rPr>
          <w:rFonts w:ascii="宋体" w:hAnsi="宋体" w:cs="Calibri"/>
          <w:iCs/>
          <w:szCs w:val="21"/>
        </w:rPr>
        <w:t xml:space="preserve">人员入职离职制度等；</w:t>
      </w:r>
      <w:r>
        <w:rPr>
          <w:rFonts w:hint="eastAsia" w:ascii="宋体" w:hAnsi="宋体" w:cs="Calibri"/>
          <w:szCs w:val="21"/>
        </w:rPr>
        <w:t xml:space="preserve">各类人员工作职责、</w:t>
      </w:r>
      <w:r>
        <w:rPr>
          <w:rFonts w:ascii="宋体" w:hAnsi="宋体" w:cs="Calibri"/>
          <w:szCs w:val="21"/>
        </w:rPr>
        <w:t xml:space="preserve">各专业岗位工作标准、工作流程、应急预案等；以及各类巡查表单等管理文书，并建立相关工作台账，</w:t>
      </w:r>
      <w:r>
        <w:rPr>
          <w:rFonts w:ascii="宋体" w:hAnsi="宋体" w:cs="Calibri"/>
          <w:bCs/>
          <w:szCs w:val="21"/>
        </w:rPr>
        <w:t xml:space="preserve">以提升采购人</w:t>
      </w:r>
      <w:r>
        <w:rPr>
          <w:rFonts w:hint="eastAsia" w:ascii="宋体" w:hAnsi="宋体" w:cs="Calibri"/>
          <w:bCs/>
          <w:szCs w:val="21"/>
        </w:rPr>
        <w:t xml:space="preserve">保安</w:t>
      </w:r>
      <w:r>
        <w:rPr>
          <w:rFonts w:ascii="宋体" w:hAnsi="宋体" w:cs="Calibri"/>
          <w:bCs/>
          <w:szCs w:val="21"/>
        </w:rPr>
        <w:t xml:space="preserve">整体服务水平。</w:t>
      </w:r>
      <w:r>
        <w:rPr>
          <w:rFonts w:ascii="宋体" w:hAnsi="宋体" w:cs="Calibri"/>
          <w:szCs w:val="21"/>
        </w:rPr>
        <w:t xml:space="preserve">项目管理部须按工作计划监督、检查、考核</w:t>
      </w:r>
      <w:r>
        <w:rPr>
          <w:rFonts w:hint="eastAsia" w:ascii="宋体" w:hAnsi="宋体" w:cs="Calibri"/>
          <w:szCs w:val="21"/>
        </w:rPr>
        <w:t xml:space="preserve">。</w:t>
      </w:r>
      <w:r/>
    </w:p>
    <w:p>
      <w:pPr>
        <w:ind w:left="63" w:firstLine="420"/>
        <w:spacing w:line="360" w:lineRule="auto"/>
        <w:rPr>
          <w:rFonts w:ascii="宋体" w:hAnsi="宋体" w:cs="Calibri"/>
          <w:szCs w:val="21"/>
        </w:rPr>
      </w:pPr>
      <w:r>
        <w:rPr>
          <w:rFonts w:hint="eastAsia" w:ascii="宋体" w:hAnsi="宋体" w:cs="Calibri"/>
          <w:szCs w:val="21"/>
        </w:rPr>
        <w:t xml:space="preserve">3、</w:t>
      </w:r>
      <w:r>
        <w:rPr>
          <w:rFonts w:ascii="宋体" w:hAnsi="宋体" w:cs="Calibri"/>
          <w:szCs w:val="21"/>
        </w:rPr>
        <w:t xml:space="preserve">投标人项目管理部需人员结构合理，分工明确，</w:t>
      </w:r>
      <w:r>
        <w:rPr>
          <w:rFonts w:ascii="宋体" w:hAnsi="宋体" w:cs="Calibri"/>
          <w:iCs/>
          <w:szCs w:val="21"/>
        </w:rPr>
        <w:t xml:space="preserve">并有</w:t>
      </w:r>
      <w:r>
        <w:rPr>
          <w:rFonts w:ascii="宋体" w:hAnsi="宋体" w:cs="Calibri"/>
          <w:szCs w:val="21"/>
        </w:rPr>
        <w:t xml:space="preserve">相应岗位充足的后备人员储备。人员必须经采购人考核通过方可录用，</w:t>
      </w:r>
      <w:r>
        <w:rPr>
          <w:rFonts w:hint="eastAsia" w:ascii="宋体" w:hAnsi="宋体" w:cs="Calibri"/>
          <w:szCs w:val="21"/>
        </w:rPr>
        <w:t xml:space="preserve">项目负责人</w:t>
      </w:r>
      <w:r>
        <w:rPr>
          <w:rFonts w:ascii="宋体" w:hAnsi="宋体" w:cs="Calibri"/>
          <w:szCs w:val="21"/>
        </w:rPr>
        <w:t xml:space="preserve">需要具有丰富的工作经验，较强的沟通</w:t>
      </w:r>
      <w:r>
        <w:rPr>
          <w:rFonts w:ascii="宋体" w:hAnsi="宋体" w:cs="Calibri"/>
          <w:szCs w:val="21"/>
        </w:rPr>
        <w:t xml:space="preserve">和承压能力。保持良好上岗仪态</w:t>
      </w:r>
      <w:r>
        <w:rPr>
          <w:rFonts w:hint="eastAsia" w:ascii="宋体" w:hAnsi="宋体" w:cs="Calibri"/>
          <w:szCs w:val="21"/>
        </w:rPr>
        <w:t xml:space="preserve">。</w:t>
      </w:r>
      <w:r>
        <w:rPr>
          <w:rFonts w:ascii="宋体" w:hAnsi="宋体" w:cs="Calibri"/>
          <w:szCs w:val="21"/>
        </w:rPr>
        <w:t xml:space="preserve"> </w:t>
      </w:r>
      <w:r/>
    </w:p>
    <w:p>
      <w:pPr>
        <w:ind w:firstLine="420"/>
        <w:spacing w:line="360" w:lineRule="auto"/>
        <w:rPr>
          <w:rFonts w:ascii="宋体" w:hAnsi="宋体" w:cs="Calibri"/>
          <w:szCs w:val="21"/>
        </w:rPr>
      </w:pPr>
      <w:r>
        <w:rPr>
          <w:rFonts w:hint="eastAsia" w:ascii="宋体" w:hAnsi="宋体" w:cs="Calibri"/>
          <w:szCs w:val="21"/>
        </w:rPr>
        <w:t xml:space="preserve">4、</w:t>
      </w:r>
      <w:r>
        <w:rPr>
          <w:rFonts w:ascii="宋体" w:hAnsi="宋体" w:cs="Calibri"/>
          <w:szCs w:val="21"/>
        </w:rPr>
        <w:t xml:space="preserve">投标人需配合采购人做好迎接各类检查和突发性公共卫生事件等物业服务工作。</w:t>
      </w:r>
      <w:r/>
    </w:p>
    <w:p>
      <w:pPr>
        <w:ind w:firstLine="398"/>
        <w:jc w:val="left"/>
        <w:spacing w:line="360" w:lineRule="auto"/>
        <w:rPr>
          <w:rFonts w:ascii="宋体" w:hAnsi="宋体"/>
          <w:b/>
          <w:bCs/>
          <w:szCs w:val="21"/>
        </w:rPr>
      </w:pPr>
      <w:r>
        <w:rPr>
          <w:rFonts w:hint="eastAsia" w:ascii="宋体" w:hAnsi="宋体" w:cs="宋体"/>
          <w:b/>
          <w:bCs/>
          <w:szCs w:val="21"/>
        </w:rPr>
        <w:t xml:space="preserve">三、</w:t>
      </w:r>
      <w:r>
        <w:rPr>
          <w:rFonts w:hint="eastAsia" w:ascii="宋体" w:hAnsi="宋体" w:cs="宋体"/>
          <w:b/>
          <w:bCs/>
          <w:szCs w:val="21"/>
        </w:rPr>
        <w:t xml:space="preserve">人员配备要求</w:t>
      </w:r>
      <w:r/>
    </w:p>
    <w:p>
      <w:pPr>
        <w:ind w:firstLine="420"/>
        <w:jc w:val="left"/>
        <w:spacing w:line="360" w:lineRule="auto"/>
        <w:rPr>
          <w:rFonts w:ascii="宋体" w:hAnsi="宋体"/>
          <w:szCs w:val="21"/>
        </w:rPr>
      </w:pPr>
      <w:r>
        <w:rPr>
          <w:rFonts w:hint="eastAsia" w:ascii="宋体" w:hAnsi="宋体" w:cs="宋体"/>
          <w:szCs w:val="21"/>
        </w:rPr>
        <w:t xml:space="preserve">配备总人数不少于20人（含20人），均持有保安证。所配备人员需做到思想端正，作风正派，服务意识强，业务熟练高效，无不良记录和不良嗜好（酗酒、网瘾）；身体健康（无严重慢性疾病、无传染性疾病及精神类疾病）；五官端正，举止文明，规范着装，佩证上岗，作业规范。</w:t>
      </w:r>
      <w:r/>
    </w:p>
    <w:p>
      <w:pPr>
        <w:ind w:firstLine="420"/>
        <w:jc w:val="left"/>
        <w:spacing w:line="360" w:lineRule="auto"/>
        <w:rPr>
          <w:rFonts w:ascii="宋体" w:hAnsi="宋体" w:cs="宋体"/>
          <w:szCs w:val="21"/>
        </w:rPr>
      </w:pPr>
      <w:r>
        <w:rPr>
          <w:rFonts w:hint="eastAsia" w:ascii="宋体" w:hAnsi="宋体" w:cs="宋体"/>
          <w:szCs w:val="21"/>
        </w:rPr>
        <w:t xml:space="preserve">1、项目负责人</w:t>
      </w:r>
      <w:r>
        <w:rPr>
          <w:rFonts w:ascii="宋体" w:hAnsi="宋体" w:cs="宋体"/>
          <w:szCs w:val="21"/>
        </w:rPr>
        <w:t xml:space="preserve">1</w:t>
      </w:r>
      <w:r>
        <w:rPr>
          <w:rFonts w:hint="eastAsia" w:ascii="宋体" w:hAnsi="宋体" w:cs="宋体"/>
          <w:szCs w:val="21"/>
        </w:rPr>
        <w:t xml:space="preserve">名：男性，</w:t>
      </w:r>
      <w:r>
        <w:rPr>
          <w:rFonts w:ascii="宋体" w:hAnsi="宋体" w:cs="宋体"/>
          <w:szCs w:val="21"/>
        </w:rPr>
        <w:t xml:space="preserve">45</w:t>
      </w:r>
      <w:r>
        <w:rPr>
          <w:rFonts w:hint="eastAsia" w:ascii="宋体" w:hAnsi="宋体" w:cs="宋体"/>
          <w:szCs w:val="21"/>
        </w:rPr>
        <w:t xml:space="preserve">周岁以下，大专以上学历，军人、党员优先，能按要求完成项目统筹管理和人员管理、培训、考核、奖惩落实的组织管理。</w:t>
      </w:r>
      <w:r/>
    </w:p>
    <w:p>
      <w:pPr>
        <w:ind w:firstLine="420"/>
        <w:jc w:val="left"/>
        <w:spacing w:line="360" w:lineRule="auto"/>
        <w:rPr>
          <w:rFonts w:ascii="宋体" w:hAnsi="宋体"/>
          <w:szCs w:val="21"/>
        </w:rPr>
      </w:pPr>
      <w:r>
        <w:rPr>
          <w:rFonts w:hint="eastAsia" w:ascii="宋体" w:hAnsi="宋体" w:cs="宋体"/>
          <w:szCs w:val="21"/>
        </w:rPr>
        <w:t xml:space="preserve">2、停车收费员2名：女性，</w:t>
      </w:r>
      <w:r>
        <w:rPr>
          <w:rFonts w:ascii="宋体" w:hAnsi="宋体" w:cs="宋体"/>
          <w:szCs w:val="21"/>
        </w:rPr>
        <w:t xml:space="preserve">50</w:t>
      </w:r>
      <w:r>
        <w:rPr>
          <w:rFonts w:hint="eastAsia" w:ascii="宋体" w:hAnsi="宋体" w:cs="宋体"/>
          <w:szCs w:val="21"/>
        </w:rPr>
        <w:t xml:space="preserve">周岁及以下，五官端正、身体健康、工作责任心强，有停车场收费管理工作经验。</w:t>
      </w:r>
      <w:r/>
    </w:p>
    <w:p>
      <w:pPr>
        <w:ind w:firstLine="420"/>
        <w:jc w:val="left"/>
        <w:spacing w:line="360" w:lineRule="auto"/>
        <w:rPr>
          <w:rFonts w:ascii="宋体" w:hAnsi="宋体"/>
          <w:szCs w:val="21"/>
        </w:rPr>
      </w:pPr>
      <w:r>
        <w:rPr>
          <w:rFonts w:hint="eastAsia" w:ascii="宋体" w:hAnsi="宋体" w:cs="宋体"/>
          <w:szCs w:val="21"/>
        </w:rPr>
        <w:t xml:space="preserve">3、液氧站巡查保安2名：男性，55周岁及以下，身体健壮，品行端正，做事勤快，服从指挥，工作责任心强，有相关工作经验。</w:t>
      </w:r>
      <w:r/>
    </w:p>
    <w:p>
      <w:pPr>
        <w:ind w:firstLine="420"/>
        <w:jc w:val="left"/>
        <w:spacing w:line="360" w:lineRule="auto"/>
        <w:rPr>
          <w:rFonts w:ascii="宋体" w:hAnsi="宋体"/>
          <w:szCs w:val="21"/>
        </w:rPr>
      </w:pPr>
      <w:r>
        <w:rPr>
          <w:rFonts w:hint="eastAsia" w:ascii="宋体" w:hAnsi="宋体" w:cs="宋体"/>
          <w:szCs w:val="21"/>
        </w:rPr>
        <w:t xml:space="preserve">4、车辆引导2名：男性，55周岁及以下，五官端正、身体健康、工作责任心强，有车辆引导管理工作经验。</w:t>
      </w:r>
      <w:r/>
    </w:p>
    <w:p>
      <w:pPr>
        <w:ind w:firstLine="420"/>
        <w:jc w:val="left"/>
        <w:spacing w:line="360" w:lineRule="auto"/>
        <w:rPr>
          <w:rFonts w:ascii="宋体" w:hAnsi="宋体"/>
          <w:szCs w:val="21"/>
        </w:rPr>
      </w:pPr>
      <w:r>
        <w:rPr>
          <w:rFonts w:hint="eastAsia" w:ascii="宋体" w:hAnsi="宋体" w:cs="宋体"/>
          <w:szCs w:val="21"/>
        </w:rPr>
        <w:t xml:space="preserve">5、巡逻岗5名：男性，持有保安证，55周岁及以下，身体强壮，品行端正，做事勤快，服从指挥，工作责任心强，有相关工作经验。</w:t>
      </w:r>
      <w:r/>
    </w:p>
    <w:p>
      <w:pPr>
        <w:ind w:firstLine="420"/>
        <w:jc w:val="left"/>
        <w:spacing w:line="360" w:lineRule="auto"/>
        <w:rPr>
          <w:rFonts w:ascii="宋体" w:hAnsi="宋体"/>
          <w:szCs w:val="21"/>
        </w:rPr>
      </w:pPr>
      <w:r>
        <w:rPr>
          <w:rFonts w:hint="eastAsia" w:ascii="宋体" w:hAnsi="宋体" w:cs="宋体"/>
          <w:szCs w:val="21"/>
        </w:rPr>
        <w:t xml:space="preserve">6、入口管理2名：其中机动车入口</w:t>
      </w:r>
      <w:r>
        <w:rPr>
          <w:rFonts w:ascii="宋体" w:hAnsi="宋体" w:cs="宋体"/>
          <w:szCs w:val="21"/>
        </w:rPr>
        <w:t xml:space="preserve">4</w:t>
      </w:r>
      <w:r>
        <w:rPr>
          <w:rFonts w:hint="eastAsia" w:ascii="宋体" w:hAnsi="宋体" w:cs="宋体"/>
          <w:szCs w:val="21"/>
        </w:rPr>
        <w:t xml:space="preserve">名，非机动车入口</w:t>
      </w:r>
      <w:r>
        <w:rPr>
          <w:rFonts w:ascii="宋体" w:hAnsi="宋体" w:cs="宋体"/>
          <w:szCs w:val="21"/>
        </w:rPr>
        <w:t xml:space="preserve">2</w:t>
      </w:r>
      <w:r>
        <w:rPr>
          <w:rFonts w:hint="eastAsia" w:ascii="宋体" w:hAnsi="宋体" w:cs="宋体"/>
          <w:szCs w:val="21"/>
        </w:rPr>
        <w:t xml:space="preserve">名。男性，55周岁及以下，身体健康，品行端正，做事勤快，服从指挥，工作责任心强，有相关工作经验。</w:t>
      </w:r>
      <w:r/>
    </w:p>
    <w:p>
      <w:pPr>
        <w:ind w:firstLine="420"/>
        <w:jc w:val="left"/>
        <w:spacing w:line="360" w:lineRule="auto"/>
        <w:rPr>
          <w:rFonts w:ascii="宋体" w:hAnsi="宋体"/>
          <w:szCs w:val="21"/>
        </w:rPr>
      </w:pPr>
      <w:r>
        <w:rPr>
          <w:rFonts w:hint="eastAsia" w:ascii="宋体" w:hAnsi="宋体" w:cs="宋体"/>
          <w:szCs w:val="21"/>
        </w:rPr>
        <w:t xml:space="preserve">7、消控室</w:t>
      </w:r>
      <w:r>
        <w:rPr>
          <w:rFonts w:ascii="宋体" w:hAnsi="宋体" w:cs="宋体"/>
          <w:szCs w:val="21"/>
        </w:rPr>
        <w:t xml:space="preserve">6</w:t>
      </w:r>
      <w:r>
        <w:rPr>
          <w:rFonts w:hint="eastAsia" w:ascii="宋体" w:hAnsi="宋体" w:cs="宋体"/>
          <w:szCs w:val="21"/>
        </w:rPr>
        <w:t xml:space="preserve">名：男性，持有相应建（构）筑物消防员/消防设施操作员中级证书，55周岁及以下，五官端正、身体健康、工作责任心强，有相关工作经验。</w:t>
      </w:r>
      <w:r/>
    </w:p>
    <w:p>
      <w:pPr>
        <w:ind w:firstLine="420"/>
        <w:jc w:val="left"/>
        <w:spacing w:line="360" w:lineRule="auto"/>
        <w:rPr>
          <w:rFonts w:ascii="宋体" w:hAnsi="宋体"/>
          <w:szCs w:val="21"/>
        </w:rPr>
      </w:pPr>
      <w:r>
        <w:rPr>
          <w:rFonts w:hint="eastAsia" w:ascii="宋体" w:hAnsi="宋体" w:cs="宋体"/>
          <w:szCs w:val="21"/>
        </w:rPr>
        <w:t xml:space="preserve">8、中标人必须聘请（或指定）</w:t>
      </w:r>
      <w:r>
        <w:rPr>
          <w:rFonts w:ascii="宋体" w:hAnsi="宋体" w:cs="宋体"/>
          <w:szCs w:val="21"/>
        </w:rPr>
        <w:t xml:space="preserve">1</w:t>
      </w:r>
      <w:r>
        <w:rPr>
          <w:rFonts w:hint="eastAsia" w:ascii="宋体" w:hAnsi="宋体" w:cs="宋体"/>
          <w:szCs w:val="21"/>
        </w:rPr>
        <w:t xml:space="preserve">位项目经理（负责人），全权代表中标人与采购人保持密切联系并保证服务区域服务管理工作，确保服务工作符合采购人要求，中标人须采用项目部管理模式。</w:t>
      </w:r>
      <w:r/>
    </w:p>
    <w:p>
      <w:pPr>
        <w:ind w:firstLine="420"/>
        <w:spacing w:line="360" w:lineRule="auto"/>
        <w:rPr>
          <w:rFonts w:ascii="宋体" w:hAnsi="宋体" w:cs="宋体"/>
          <w:szCs w:val="21"/>
        </w:rPr>
      </w:pPr>
      <w:r>
        <w:rPr>
          <w:rFonts w:hint="eastAsia" w:ascii="宋体" w:hAnsi="宋体" w:cs="宋体"/>
          <w:szCs w:val="21"/>
        </w:rPr>
        <w:t xml:space="preserve">9、服务人员在工作时间须全员全时在岗，接受采购单位的检查和考核。不得有脱岗、混岗、串岗现象发生。</w:t>
      </w:r>
      <w:r/>
    </w:p>
    <w:p>
      <w:pPr>
        <w:ind w:firstLine="401"/>
        <w:jc w:val="left"/>
        <w:spacing w:line="360" w:lineRule="auto"/>
        <w:rPr>
          <w:rFonts w:ascii="宋体" w:hAnsi="宋体"/>
          <w:b/>
          <w:bCs/>
          <w:szCs w:val="21"/>
        </w:rPr>
      </w:pPr>
      <w:r>
        <w:rPr>
          <w:rFonts w:hint="eastAsia" w:ascii="宋体" w:hAnsi="宋体" w:cs="宋体"/>
          <w:b/>
          <w:bCs/>
          <w:szCs w:val="21"/>
        </w:rPr>
        <w:t xml:space="preserve">四、经营制约</w:t>
      </w:r>
      <w:r/>
    </w:p>
    <w:p>
      <w:pPr>
        <w:ind w:firstLine="420"/>
        <w:jc w:val="left"/>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、未经采购人同意，中标人无权在服务区域内从事任何广告或宣传活动，否则采购人有权责令中标人限期改正，并接受处罚。</w:t>
      </w:r>
      <w:r/>
    </w:p>
    <w:p>
      <w:pPr>
        <w:ind w:firstLine="420"/>
        <w:jc w:val="left"/>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、未经授权中标人不得以采购人的名义从事任何对外活动，否则其后果由中标人自行</w:t>
      </w:r>
      <w:r>
        <w:rPr>
          <w:rFonts w:hint="eastAsia" w:ascii="宋体" w:hAnsi="宋体" w:cs="宋体"/>
          <w:szCs w:val="21"/>
        </w:rPr>
        <w:t xml:space="preserve">承担，与采购人无关。</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、中标人不得以任何形式转租、转让、抵押服务区域，并承诺在服务区域只从事采购人认可的服务工作。</w:t>
      </w:r>
      <w:r/>
    </w:p>
    <w:p>
      <w:pPr>
        <w:ind w:firstLine="420"/>
        <w:spacing w:line="360" w:lineRule="auto"/>
        <w:rPr>
          <w:rFonts w:ascii="宋体" w:hAnsi="宋体" w:cs="宋体"/>
          <w:szCs w:val="21"/>
        </w:rPr>
      </w:pPr>
      <w:r>
        <w:rPr>
          <w:rFonts w:hint="eastAsia" w:ascii="宋体" w:hAnsi="宋体" w:cs="宋体"/>
          <w:szCs w:val="21"/>
        </w:rPr>
        <w:t xml:space="preserve">4、中标人应保证关键岗位人员相对稳定，上岗人员服务满足运行需求，否则采购人有权根据具体情节进行考核扣罚项目结算费用，采购方提出的整改不及时落实，有权单方终止双方协议，中标人不得向采购人提出任何补偿要求。</w:t>
      </w:r>
      <w:r/>
    </w:p>
    <w:p>
      <w:pPr>
        <w:ind w:firstLine="401"/>
        <w:jc w:val="left"/>
        <w:spacing w:line="360" w:lineRule="auto"/>
        <w:rPr>
          <w:rFonts w:ascii="宋体" w:hAnsi="宋体"/>
          <w:b/>
          <w:bCs/>
          <w:szCs w:val="21"/>
        </w:rPr>
      </w:pPr>
      <w:r>
        <w:rPr>
          <w:rFonts w:hint="eastAsia" w:ascii="宋体" w:hAnsi="宋体" w:cs="宋体"/>
          <w:b/>
          <w:bCs/>
          <w:szCs w:val="21"/>
        </w:rPr>
        <w:t xml:space="preserve">五、保密要求</w:t>
      </w:r>
      <w:r/>
    </w:p>
    <w:p>
      <w:pPr>
        <w:ind w:firstLine="399"/>
        <w:jc w:val="left"/>
        <w:spacing w:line="360" w:lineRule="auto"/>
        <w:rPr>
          <w:rFonts w:ascii="宋体" w:hAnsi="宋体"/>
          <w:szCs w:val="21"/>
        </w:rPr>
      </w:pPr>
      <w:r>
        <w:rPr>
          <w:rFonts w:hint="eastAsia" w:ascii="宋体" w:hAnsi="宋体" w:cs="宋体"/>
          <w:szCs w:val="21"/>
        </w:rPr>
        <w:t xml:space="preserve">1、中标人对履行合同期间知悉的采购人秘密负有保密责任。</w:t>
      </w:r>
      <w:r/>
    </w:p>
    <w:p>
      <w:pPr>
        <w:ind w:firstLine="399"/>
        <w:jc w:val="left"/>
        <w:spacing w:line="360" w:lineRule="auto"/>
        <w:rPr>
          <w:rFonts w:ascii="宋体" w:hAnsi="宋体"/>
          <w:szCs w:val="21"/>
        </w:rPr>
      </w:pPr>
      <w:r>
        <w:rPr>
          <w:rFonts w:hint="eastAsia" w:ascii="宋体" w:hAnsi="宋体" w:cs="宋体"/>
          <w:szCs w:val="21"/>
        </w:rPr>
        <w:t xml:space="preserve">2、中标人的保密责任不因采购合同终止而终止。</w:t>
      </w:r>
      <w:r/>
    </w:p>
    <w:p>
      <w:pPr>
        <w:ind w:firstLine="399"/>
        <w:jc w:val="left"/>
        <w:spacing w:line="360" w:lineRule="auto"/>
        <w:rPr>
          <w:rFonts w:ascii="宋体" w:hAnsi="宋体"/>
          <w:szCs w:val="21"/>
        </w:rPr>
      </w:pPr>
      <w:r>
        <w:rPr>
          <w:rFonts w:hint="eastAsia" w:ascii="宋体" w:hAnsi="宋体" w:cs="宋体"/>
          <w:szCs w:val="21"/>
        </w:rPr>
        <w:t xml:space="preserve">3、若中标人违反保密要求，采购人除按照有关规定追究中标人及个人经济上的赔偿责任外，还有权提请司法机关追究有关人员及单位的法律责任。</w:t>
      </w:r>
      <w:r/>
    </w:p>
    <w:p>
      <w:pPr>
        <w:ind w:firstLine="401"/>
        <w:jc w:val="left"/>
        <w:spacing w:line="360" w:lineRule="auto"/>
        <w:rPr>
          <w:rFonts w:ascii="宋体" w:hAnsi="宋体" w:cs="宋体"/>
          <w:b/>
          <w:bCs/>
          <w:szCs w:val="21"/>
        </w:rPr>
      </w:pPr>
      <w:r>
        <w:rPr>
          <w:rFonts w:hint="eastAsia" w:ascii="宋体" w:hAnsi="宋体" w:cs="宋体"/>
          <w:b/>
          <w:bCs/>
          <w:szCs w:val="21"/>
        </w:rPr>
        <w:t xml:space="preserve">六、其他要求</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1、投标报价应包括所有的费用：人员工资、法定的社会保险、法定税费、管理费（含为完成招标文件规定的服务工作所涉及到的一切相关费用）</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2、报价时，人员工资低于扬州市最低工资标准及未依法测算缴纳社会保险的作无效报价处理。</w:t>
      </w:r>
      <w:r/>
    </w:p>
    <w:p>
      <w:pPr>
        <w:ind w:firstLine="422"/>
        <w:jc w:val="left"/>
        <w:spacing w:line="360" w:lineRule="auto"/>
        <w:rPr>
          <w:rFonts w:ascii="宋体" w:hAnsi="宋体"/>
          <w:szCs w:val="21"/>
        </w:rPr>
      </w:pPr>
      <w:r>
        <w:rPr>
          <w:rFonts w:hint="eastAsia" w:ascii="宋体" w:hAnsi="宋体" w:cs="宋体"/>
          <w:i/>
          <w:szCs w:val="21"/>
          <w:u w:val="single"/>
        </w:rPr>
        <w:t xml:space="preserve">3.投标人承诺：如中标，应将保安人员资料送公安局治安警察支队备案。（须提供承诺，扫描上传）</w:t>
      </w:r>
      <w:r/>
    </w:p>
    <w:p>
      <w:pPr>
        <w:ind w:firstLine="420"/>
        <w:jc w:val="left"/>
        <w:spacing w:line="360" w:lineRule="auto"/>
        <w:rPr>
          <w:rFonts w:ascii="宋体" w:hAnsi="宋体"/>
          <w:szCs w:val="21"/>
        </w:rPr>
      </w:pPr>
      <w:r>
        <w:rPr>
          <w:rFonts w:hint="eastAsia" w:ascii="宋体" w:hAnsi="宋体" w:cs="宋体"/>
          <w:szCs w:val="21"/>
        </w:rPr>
        <w:t xml:space="preserve">4、中标人应允许采购人或其授权的人员对服务区域内各项服务质量控制进行检查。</w:t>
      </w:r>
      <w:r/>
    </w:p>
    <w:p>
      <w:pPr>
        <w:ind w:firstLine="420"/>
        <w:jc w:val="left"/>
        <w:spacing w:line="360" w:lineRule="auto"/>
        <w:rPr>
          <w:rFonts w:ascii="宋体" w:hAnsi="宋体"/>
          <w:szCs w:val="21"/>
        </w:rPr>
      </w:pPr>
      <w:r>
        <w:rPr>
          <w:rFonts w:hint="eastAsia" w:ascii="宋体" w:hAnsi="宋体" w:cs="宋体"/>
          <w:szCs w:val="21"/>
        </w:rPr>
        <w:t xml:space="preserve">5、中标人应配合采购人开展各类活动。</w:t>
      </w:r>
      <w:r/>
    </w:p>
    <w:p>
      <w:pPr>
        <w:ind w:firstLine="420"/>
        <w:jc w:val="left"/>
        <w:spacing w:line="360" w:lineRule="auto"/>
        <w:rPr>
          <w:rFonts w:ascii="宋体" w:hAnsi="宋体"/>
          <w:szCs w:val="21"/>
        </w:rPr>
      </w:pPr>
      <w:r>
        <w:rPr>
          <w:rFonts w:hint="eastAsia" w:ascii="宋体" w:hAnsi="宋体" w:cs="宋体"/>
          <w:szCs w:val="21"/>
        </w:rPr>
        <w:t xml:space="preserve">6、中标人在服务区域内的各项服务的工作时间必须满足各类文明创建要求以及采购人的要求。</w:t>
      </w:r>
      <w:r/>
    </w:p>
    <w:p>
      <w:pPr>
        <w:ind w:firstLine="420"/>
        <w:jc w:val="left"/>
        <w:spacing w:line="360" w:lineRule="auto"/>
        <w:rPr>
          <w:rFonts w:ascii="宋体" w:hAnsi="宋体"/>
          <w:szCs w:val="21"/>
        </w:rPr>
      </w:pPr>
      <w:r>
        <w:rPr>
          <w:rFonts w:hint="eastAsia" w:ascii="宋体" w:hAnsi="宋体" w:cs="宋体"/>
          <w:szCs w:val="21"/>
        </w:rPr>
        <w:t xml:space="preserve">7、中标人负责服务范围内的安全生产工作，如出现人员伤亡事故、消防事故等安全事故，责任全部由中标人承担，与采购人无关。</w:t>
      </w:r>
      <w:r/>
    </w:p>
    <w:p>
      <w:pPr>
        <w:ind w:firstLine="420"/>
        <w:jc w:val="left"/>
        <w:spacing w:line="360" w:lineRule="auto"/>
        <w:rPr>
          <w:rFonts w:ascii="宋体" w:hAnsi="宋体"/>
          <w:szCs w:val="21"/>
        </w:rPr>
      </w:pPr>
      <w:r>
        <w:rPr>
          <w:rFonts w:hint="eastAsia" w:ascii="宋体" w:hAnsi="宋体" w:cs="宋体"/>
          <w:szCs w:val="21"/>
        </w:rPr>
        <w:t xml:space="preserve">8、采购人不负责中标人所有工作人员的衣食住行等非合同约定事项。</w:t>
      </w:r>
      <w:r/>
    </w:p>
    <w:p>
      <w:pPr>
        <w:ind w:firstLine="420"/>
        <w:jc w:val="left"/>
        <w:spacing w:line="360" w:lineRule="auto"/>
        <w:rPr>
          <w:rFonts w:ascii="宋体" w:hAnsi="宋体"/>
          <w:szCs w:val="21"/>
        </w:rPr>
      </w:pPr>
      <w:r>
        <w:rPr>
          <w:rFonts w:hint="eastAsia" w:ascii="宋体" w:hAnsi="宋体" w:cs="宋体"/>
          <w:szCs w:val="21"/>
        </w:rPr>
        <w:t xml:space="preserve">9、中标人必须确保为采购人提供优质、高效的专业服务，并对采购人不满意的服务状况进行整改，接受有关部门监督与检查。同时，中标人应参加采购人认为有助于提高采购人形象和经营业绩的宣传活动。</w:t>
      </w:r>
      <w:r/>
    </w:p>
    <w:p>
      <w:pPr>
        <w:ind w:firstLine="420"/>
        <w:jc w:val="left"/>
        <w:spacing w:line="360" w:lineRule="auto"/>
        <w:rPr>
          <w:rFonts w:ascii="宋体" w:hAnsi="宋体"/>
          <w:szCs w:val="21"/>
        </w:rPr>
      </w:pPr>
      <w:r>
        <w:rPr>
          <w:rFonts w:hint="eastAsia" w:ascii="宋体" w:hAnsi="宋体" w:cs="宋体"/>
          <w:szCs w:val="21"/>
        </w:rPr>
        <w:t xml:space="preserve">10、在服务期内，中标人应保证服务区域内的设施、设备的运行良好，并接受采购人或其授权人员的检查。由于中标人的原因造成的设施、设备损环、环境卫生不理想，中标人须</w:t>
      </w:r>
      <w:r>
        <w:rPr>
          <w:rFonts w:hint="eastAsia" w:ascii="宋体" w:hAnsi="宋体" w:cs="宋体"/>
          <w:szCs w:val="21"/>
        </w:rPr>
        <w:t xml:space="preserve">自行修复或整改。</w:t>
      </w:r>
      <w:r/>
    </w:p>
    <w:p>
      <w:pPr>
        <w:ind w:firstLine="420"/>
        <w:jc w:val="left"/>
        <w:spacing w:line="360" w:lineRule="auto"/>
        <w:rPr>
          <w:rFonts w:ascii="宋体" w:hAnsi="宋体" w:cs="宋体"/>
          <w:szCs w:val="21"/>
        </w:rPr>
      </w:pPr>
      <w:r>
        <w:rPr>
          <w:rFonts w:hint="eastAsia" w:ascii="宋体" w:hAnsi="宋体" w:cs="宋体"/>
          <w:szCs w:val="21"/>
        </w:rPr>
        <w:t xml:space="preserve">11、中标人在协议签订履行后，在服务期内因管理所需增加的其它设备、设施应征得采购人同意，并聘请有资格的供应商进行采购、安装、保养、维修，同时须将施工、安装、保养记录手册和图纸，交采购人备案。</w:t>
      </w:r>
      <w:r/>
    </w:p>
    <w:p>
      <w:pPr>
        <w:ind w:firstLine="420"/>
        <w:jc w:val="left"/>
        <w:spacing w:line="360" w:lineRule="auto"/>
        <w:rPr>
          <w:rFonts w:ascii="宋体" w:hAnsi="宋体" w:cs="宋体"/>
          <w:szCs w:val="21"/>
        </w:rPr>
      </w:pPr>
      <w:r>
        <w:rPr>
          <w:rFonts w:hint="eastAsia" w:ascii="宋体" w:hAnsi="宋体" w:cs="宋体"/>
          <w:szCs w:val="21"/>
        </w:rPr>
        <w:t xml:space="preserve">12、如遇突发事件或安全检查，中标人必须无条件积极配合，并指定专职人员协助工作，直至解决突发事件或完成检查。</w:t>
      </w:r>
      <w:r/>
    </w:p>
    <w:p>
      <w:pPr>
        <w:ind w:firstLine="424"/>
        <w:spacing w:line="440" w:lineRule="exact"/>
        <w:rPr>
          <w:rFonts w:ascii="宋体" w:hAnsi="宋体" w:cs="宋体"/>
          <w:spacing w:val="1"/>
          <w:szCs w:val="21"/>
        </w:rPr>
        <w:sectPr>
          <w:footnotePr/>
          <w:endnotePr/>
          <w:type w:val="nextPage"/>
          <w:pgSz w:w="11907" w:h="16839" w:orient="portrait"/>
          <w:pgMar w:top="1440" w:right="1800" w:bottom="1440" w:left="1800" w:header="851" w:footer="992" w:gutter="0"/>
          <w:cols w:num="1" w:sep="0" w:space="720" w:equalWidth="1"/>
          <w:docGrid w:linePitch="360"/>
        </w:sectPr>
      </w:pPr>
      <w:r>
        <w:rPr>
          <w:rFonts w:ascii="宋体" w:hAnsi="宋体" w:cs="宋体"/>
          <w:spacing w:val="1"/>
          <w:szCs w:val="21"/>
        </w:rPr>
      </w:r>
      <w:r/>
    </w:p>
    <w:p>
      <w:pPr>
        <w:pStyle w:val="743"/>
        <w:jc w:val="center"/>
        <w:spacing w:line="360" w:lineRule="auto"/>
        <w:rPr>
          <w:rFonts w:ascii="宋体" w:hAnsi="宋体"/>
        </w:rPr>
      </w:pPr>
      <w:r/>
      <w:bookmarkStart w:id="60" w:name="_Toc55204181"/>
      <w:r/>
      <w:bookmarkStart w:id="61" w:name="_Toc191970193"/>
      <w:r>
        <w:rPr>
          <w:rFonts w:hint="eastAsia" w:ascii="宋体" w:hAnsi="宋体"/>
        </w:rPr>
        <w:t xml:space="preserve">第五章 评标方法及评标标准</w:t>
      </w:r>
      <w:bookmarkEnd w:id="60"/>
      <w:r/>
      <w:bookmarkEnd w:id="61"/>
      <w:r/>
      <w:r/>
    </w:p>
    <w:p>
      <w:pPr>
        <w:pStyle w:val="772"/>
        <w:ind w:firstLine="422"/>
        <w:rPr>
          <w:rFonts w:ascii="宋体" w:hAnsi="宋体"/>
          <w:b/>
          <w:sz w:val="21"/>
          <w:szCs w:val="21"/>
        </w:rPr>
      </w:pPr>
      <w:r>
        <w:rPr>
          <w:rFonts w:hint="eastAsia" w:ascii="宋体" w:hAnsi="宋体"/>
          <w:b/>
          <w:sz w:val="21"/>
          <w:szCs w:val="21"/>
        </w:rPr>
        <w:t xml:space="preserve">一、评标方法</w:t>
      </w:r>
      <w:r/>
    </w:p>
    <w:p>
      <w:pPr>
        <w:pStyle w:val="772"/>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2" w:name="_Toc449016388"/>
      <w:r/>
      <w:bookmarkStart w:id="63" w:name="_Toc449017024"/>
      <w:r>
        <w:rPr>
          <w:rFonts w:ascii="宋体" w:hAnsi="宋体"/>
          <w:b/>
          <w:szCs w:val="21"/>
        </w:rPr>
        <w:t xml:space="preserve">二、</w:t>
      </w:r>
      <w:r>
        <w:rPr>
          <w:rFonts w:hint="eastAsia" w:ascii="宋体" w:hAnsi="宋体"/>
          <w:b/>
          <w:szCs w:val="21"/>
        </w:rPr>
        <w:t xml:space="preserve">政府采购政策功能落实</w:t>
      </w:r>
      <w:bookmarkEnd w:id="62"/>
      <w:r/>
      <w:bookmarkEnd w:id="63"/>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72"/>
        <w:ind w:firstLine="420"/>
        <w:spacing w:before="0" w:after="0"/>
        <w:rPr>
          <w:rFonts w:ascii="宋体" w:hAnsi="宋体"/>
          <w:sz w:val="21"/>
          <w:szCs w:val="21"/>
        </w:rPr>
      </w:pPr>
      <w:r>
        <w:rPr>
          <w:rFonts w:ascii="宋体" w:hAnsi="宋体"/>
          <w:sz w:val="21"/>
          <w:szCs w:val="21"/>
        </w:rPr>
        <w:t xml:space="preserve">1、小微型企业价格扣除</w:t>
      </w:r>
      <w:r/>
    </w:p>
    <w:p>
      <w:pPr>
        <w:pStyle w:val="772"/>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772"/>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772"/>
        <w:ind w:firstLine="420"/>
        <w:spacing w:before="0" w:after="0"/>
        <w:rPr>
          <w:rFonts w:ascii="宋体" w:hAnsi="宋体"/>
          <w:sz w:val="21"/>
          <w:szCs w:val="21"/>
        </w:rPr>
      </w:pPr>
      <w:r>
        <w:rPr>
          <w:rFonts w:ascii="宋体" w:hAnsi="宋体"/>
          <w:sz w:val="21"/>
          <w:szCs w:val="21"/>
        </w:rPr>
        <w:t xml:space="preserve">2、残疾人福利单位价格扣除</w:t>
      </w:r>
      <w:r/>
    </w:p>
    <w:p>
      <w:pPr>
        <w:pStyle w:val="772"/>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72"/>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772"/>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772"/>
        <w:ind w:firstLine="420"/>
        <w:spacing w:before="0" w:after="0"/>
        <w:rPr>
          <w:rFonts w:ascii="宋体" w:hAnsi="宋体"/>
          <w:sz w:val="21"/>
          <w:szCs w:val="21"/>
        </w:rPr>
      </w:pPr>
      <w:r>
        <w:rPr>
          <w:rFonts w:ascii="宋体" w:hAnsi="宋体"/>
          <w:sz w:val="21"/>
          <w:szCs w:val="21"/>
        </w:rPr>
        <w:t xml:space="preserve">3、监狱和戒毒企业价格扣除</w:t>
      </w:r>
      <w:r/>
    </w:p>
    <w:p>
      <w:pPr>
        <w:pStyle w:val="772"/>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72"/>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2"/>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772"/>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772"/>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772"/>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772"/>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772"/>
        <w:ind w:firstLine="422"/>
        <w:rPr>
          <w:rFonts w:ascii="宋体" w:hAnsi="宋体"/>
          <w:b/>
          <w:sz w:val="21"/>
          <w:szCs w:val="21"/>
        </w:rPr>
        <w:outlineLvl w:val="1"/>
      </w:pPr>
      <w:r>
        <w:rPr>
          <w:rFonts w:hint="eastAsia" w:ascii="宋体" w:hAnsi="宋体"/>
          <w:b/>
          <w:sz w:val="21"/>
          <w:szCs w:val="21"/>
        </w:rPr>
        <w:t xml:space="preserve">三、评标标准</w:t>
      </w:r>
      <w:r/>
    </w:p>
    <w:tbl>
      <w:tblPr>
        <w:tblW w:w="9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60"/>
        <w:gridCol w:w="6738"/>
      </w:tblGrid>
      <w:tr>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szCs w:val="21"/>
              </w:rPr>
            </w:pPr>
            <w:r>
              <w:rPr>
                <w:rFonts w:hint="eastAsia" w:ascii="宋体" w:hAnsi="宋体"/>
              </w:rPr>
              <w:t xml:space="preserve">项目</w:t>
            </w:r>
            <w:r/>
          </w:p>
        </w:tc>
        <w:tc>
          <w:tcPr>
            <w:gridSpan w:val="2"/>
            <w:tcBorders>
              <w:top w:val="single" w:color="auto" w:sz="4" w:space="0"/>
              <w:left w:val="none" w:color="000000" w:sz="4" w:space="0"/>
              <w:bottom w:val="single" w:color="auto" w:sz="4" w:space="0"/>
              <w:right w:val="single" w:color="auto" w:sz="4" w:space="0"/>
            </w:tcBorders>
            <w:tcW w:w="8298" w:type="dxa"/>
            <w:vAlign w:val="center"/>
            <w:textDirection w:val="lrTb"/>
            <w:noWrap w:val="false"/>
          </w:tcPr>
          <w:p>
            <w:pPr>
              <w:jc w:val="center"/>
              <w:rPr>
                <w:rFonts w:ascii="宋体" w:hAnsi="宋体"/>
                <w:szCs w:val="21"/>
              </w:rPr>
            </w:pPr>
            <w:r>
              <w:rPr>
                <w:rFonts w:hint="eastAsia" w:ascii="宋体" w:hAnsi="宋体"/>
              </w:rPr>
              <w:t xml:space="preserve">评分标准</w:t>
            </w:r>
            <w:r/>
          </w:p>
        </w:tc>
      </w:tr>
      <w:tr>
        <w:trPr>
          <w:trHeight w:val="810"/>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szCs w:val="21"/>
              </w:rPr>
            </w:pPr>
            <w:r>
              <w:rPr>
                <w:rFonts w:hint="eastAsia" w:ascii="宋体" w:hAnsi="宋体"/>
              </w:rPr>
              <w:t xml:space="preserve">报价</w:t>
            </w:r>
            <w:r/>
          </w:p>
          <w:p>
            <w:pPr>
              <w:jc w:val="center"/>
              <w:spacing w:line="360" w:lineRule="auto"/>
              <w:rPr>
                <w:rFonts w:ascii="宋体" w:hAnsi="宋体"/>
                <w:szCs w:val="21"/>
              </w:rPr>
            </w:pPr>
            <w:r>
              <w:rPr>
                <w:rFonts w:hint="eastAsia" w:ascii="宋体" w:hAnsi="宋体"/>
              </w:rPr>
              <w:t xml:space="preserve">10分</w:t>
            </w:r>
            <w:r/>
          </w:p>
        </w:tc>
        <w:tc>
          <w:tcPr>
            <w:gridSpan w:val="2"/>
            <w:tcBorders>
              <w:top w:val="single" w:color="auto" w:sz="4" w:space="0"/>
              <w:left w:val="none" w:color="000000" w:sz="4" w:space="0"/>
              <w:bottom w:val="single" w:color="auto" w:sz="4" w:space="0"/>
              <w:right w:val="single" w:color="auto" w:sz="4" w:space="0"/>
            </w:tcBorders>
            <w:tcW w:w="8298" w:type="dxa"/>
            <w:vAlign w:val="center"/>
            <w:textDirection w:val="lrTb"/>
            <w:noWrap w:val="false"/>
          </w:tcPr>
          <w:p>
            <w:pPr>
              <w:spacing w:line="440" w:lineRule="exact"/>
              <w:widowControl/>
              <w:rPr>
                <w:rFonts w:ascii="宋体" w:hAnsi="宋体"/>
              </w:rPr>
            </w:pPr>
            <w:r>
              <w:rPr>
                <w:rFonts w:hint="eastAsia" w:ascii="宋体" w:hAnsi="宋体"/>
              </w:rPr>
              <w:t xml:space="preserve">以满足采购文件要求的最低投标报价为评标基准价，得满分10分，其他投标报价=（评标基准价/其他投标报价）×10×100%。</w:t>
            </w:r>
            <w:r/>
          </w:p>
          <w:p>
            <w:pPr>
              <w:spacing w:line="440" w:lineRule="exact"/>
              <w:widowControl/>
              <w:rPr>
                <w:rFonts w:ascii="宋体" w:hAnsi="宋体"/>
                <w:szCs w:val="21"/>
              </w:rPr>
            </w:pPr>
            <w:r>
              <w:rPr>
                <w:rFonts w:hint="eastAsia" w:ascii="宋体" w:hAnsi="宋体"/>
              </w:rPr>
              <w:t xml:space="preserve">注：评分小组认为投标人的报价明显低于其他通过符合性审查投标人的报价，有可能影响服务质量或者不能诚信履约的，且投标人不能在评分现场合理的时间内证明其报价合理性的，评分小组有权将其作为无效投标处理。</w:t>
            </w:r>
            <w:r/>
          </w:p>
        </w:tc>
      </w:tr>
      <w:tr>
        <w:trPr>
          <w:trHeight w:val="2196"/>
        </w:trPr>
        <w:tc>
          <w:tcPr>
            <w:tcBorders>
              <w:top w:val="none" w:color="000000" w:sz="4" w:space="0"/>
              <w:left w:val="single" w:color="auto" w:sz="4" w:space="0"/>
              <w:bottom w:val="single" w:color="auto" w:sz="4" w:space="0"/>
              <w:right w:val="single" w:color="auto" w:sz="4" w:space="0"/>
            </w:tcBorders>
            <w:tcW w:w="1212" w:type="dxa"/>
            <w:vAlign w:val="center"/>
            <w:vMerge w:val="restart"/>
            <w:textDirection w:val="lrTb"/>
            <w:noWrap w:val="false"/>
          </w:tcPr>
          <w:p>
            <w:pPr>
              <w:jc w:val="center"/>
              <w:spacing w:line="360" w:lineRule="auto"/>
              <w:rPr>
                <w:rFonts w:ascii="宋体" w:hAnsi="宋体"/>
                <w:szCs w:val="21"/>
              </w:rPr>
            </w:pPr>
            <w:r>
              <w:rPr>
                <w:rFonts w:hint="eastAsia" w:ascii="宋体" w:hAnsi="宋体"/>
              </w:rPr>
              <w:t xml:space="preserve">技术方案</w:t>
            </w:r>
            <w:r/>
          </w:p>
          <w:p>
            <w:pPr>
              <w:jc w:val="center"/>
              <w:spacing w:line="360" w:lineRule="auto"/>
              <w:rPr>
                <w:rFonts w:ascii="宋体" w:hAnsi="宋体"/>
                <w:szCs w:val="21"/>
              </w:rPr>
            </w:pPr>
            <w:r>
              <w:rPr>
                <w:rFonts w:hint="eastAsia" w:ascii="宋体" w:hAnsi="宋体"/>
              </w:rPr>
              <w:t xml:space="preserve">55分</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ascii="宋体" w:hAnsi="宋体"/>
                <w:szCs w:val="21"/>
              </w:rPr>
            </w:pPr>
            <w:r>
              <w:rPr>
                <w:rFonts w:hint="eastAsia" w:ascii="宋体" w:hAnsi="宋体"/>
              </w:rPr>
              <w:t xml:space="preserve">合理编制投标分项、员工配备及安排</w:t>
            </w:r>
            <w:r/>
          </w:p>
          <w:p>
            <w:pPr>
              <w:jc w:val="center"/>
              <w:spacing w:line="360" w:lineRule="auto"/>
              <w:rPr>
                <w:rFonts w:ascii="宋体" w:hAnsi="宋体"/>
                <w:szCs w:val="21"/>
              </w:rPr>
            </w:pPr>
            <w:r>
              <w:rPr>
                <w:rFonts w:hint="eastAsia" w:ascii="宋体" w:hAnsi="宋体"/>
              </w:rPr>
              <w:t xml:space="preserve">（23分）</w:t>
            </w:r>
            <w:r/>
          </w:p>
        </w:tc>
        <w:tc>
          <w:tcPr>
            <w:tcBorders>
              <w:top w:val="single" w:color="auto" w:sz="4" w:space="0"/>
              <w:left w:val="none" w:color="000000" w:sz="4" w:space="0"/>
              <w:bottom w:val="single" w:color="auto" w:sz="4" w:space="0"/>
              <w:right w:val="single" w:color="auto" w:sz="4" w:space="0"/>
            </w:tcBorders>
            <w:tcW w:w="6738" w:type="dxa"/>
            <w:textDirection w:val="lrTb"/>
            <w:noWrap w:val="false"/>
          </w:tcPr>
          <w:p>
            <w:pPr>
              <w:numPr>
                <w:ilvl w:val="0"/>
                <w:numId w:val="8"/>
              </w:numPr>
              <w:spacing w:line="440" w:lineRule="exact"/>
              <w:widowControl/>
              <w:rPr>
                <w:rFonts w:ascii="宋体" w:hAnsi="宋体"/>
                <w:szCs w:val="21"/>
              </w:rPr>
            </w:pPr>
            <w:r>
              <w:rPr>
                <w:rFonts w:hint="eastAsia" w:ascii="宋体" w:hAnsi="宋体"/>
              </w:rPr>
              <w:t xml:space="preserve">成本分析及费用分析（8分）：成本分析及费用分析：成本分析合理、有效、费用分析科学完整得8分；成本分析基本合理、有效、费用分析基本完整得4分；成本分析欠合理、有效、费用分析欠完整得1分；其他不得分。</w:t>
            </w:r>
            <w:r/>
          </w:p>
          <w:p>
            <w:pPr>
              <w:numPr>
                <w:ilvl w:val="0"/>
                <w:numId w:val="8"/>
              </w:numPr>
              <w:spacing w:line="440" w:lineRule="exact"/>
              <w:widowControl/>
              <w:rPr>
                <w:rFonts w:ascii="宋体" w:hAnsi="宋体"/>
              </w:rPr>
            </w:pPr>
            <w:r>
              <w:rPr>
                <w:rFonts w:hint="eastAsia" w:ascii="宋体" w:hAnsi="宋体"/>
              </w:rPr>
              <w:t xml:space="preserve">员工配备及安排（8分）：员工配备充分符合要求、安排科学合理、有针对性、有进退场计划等得8分；员工配备基本符合要求、安排基本合理、有部分针对性等得4分；员工配备基本符合要求、安排欠合理、针对性不强等得1分；其他不得分。</w:t>
            </w:r>
            <w:r/>
          </w:p>
          <w:p>
            <w:pPr>
              <w:jc w:val="left"/>
              <w:spacing w:line="360" w:lineRule="auto"/>
              <w:rPr>
                <w:rFonts w:ascii="宋体" w:hAnsi="宋体"/>
                <w:szCs w:val="21"/>
              </w:rPr>
            </w:pPr>
            <w:r>
              <w:rPr>
                <w:rFonts w:hint="eastAsia" w:ascii="宋体" w:hAnsi="宋体"/>
              </w:rPr>
              <w:t xml:space="preserve">3、组织架构及机构运作方法（7分）：科学、严密、合理，描述详细且具有针对性的得7分，基本合理、描述一般、存在可操作性得3分，具有不合理项、描述欠缺、存在实施难度得1分，不提供不得分。 </w:t>
            </w:r>
            <w:r/>
          </w:p>
        </w:tc>
      </w:tr>
      <w:tr>
        <w:trPr>
          <w:trHeight w:val="1830"/>
        </w:trPr>
        <w:tc>
          <w:tcPr>
            <w:tcBorders>
              <w:top w:val="none" w:color="000000" w:sz="4" w:space="0"/>
              <w:left w:val="single" w:color="auto" w:sz="4" w:space="0"/>
              <w:bottom w:val="single" w:color="auto" w:sz="4" w:space="0"/>
              <w:right w:val="single" w:color="auto" w:sz="4" w:space="0"/>
            </w:tcBorders>
            <w:tcW w:w="1212"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szCs w:val="21"/>
              </w:rPr>
            </w:pPr>
            <w:r>
              <w:rPr>
                <w:rFonts w:hint="eastAsia" w:ascii="宋体" w:hAnsi="宋体" w:cs="楷体"/>
              </w:rPr>
              <w:t xml:space="preserve">组织实施方案</w:t>
            </w:r>
            <w:r/>
          </w:p>
          <w:p>
            <w:pPr>
              <w:jc w:val="center"/>
              <w:rPr>
                <w:rFonts w:ascii="宋体" w:hAnsi="宋体"/>
                <w:szCs w:val="21"/>
              </w:rPr>
            </w:pPr>
            <w:r>
              <w:rPr>
                <w:rFonts w:hint="eastAsia" w:ascii="宋体" w:hAnsi="宋体" w:cs="楷体"/>
              </w:rPr>
              <w:t xml:space="preserve">（32分）</w:t>
            </w:r>
            <w:r/>
          </w:p>
        </w:tc>
        <w:tc>
          <w:tcPr>
            <w:tcBorders>
              <w:top w:val="single" w:color="auto" w:sz="4" w:space="0"/>
              <w:left w:val="none" w:color="000000" w:sz="4" w:space="0"/>
              <w:bottom w:val="single" w:color="auto" w:sz="4" w:space="0"/>
              <w:right w:val="single" w:color="auto" w:sz="4" w:space="0"/>
            </w:tcBorders>
            <w:tcW w:w="6738" w:type="dxa"/>
            <w:textDirection w:val="lrTb"/>
            <w:noWrap w:val="false"/>
          </w:tcPr>
          <w:p>
            <w:pPr>
              <w:numPr>
                <w:ilvl w:val="0"/>
                <w:numId w:val="9"/>
              </w:numPr>
              <w:jc w:val="left"/>
              <w:spacing w:line="440" w:lineRule="exact"/>
              <w:rPr>
                <w:rFonts w:ascii="宋体" w:hAnsi="宋体"/>
                <w:szCs w:val="21"/>
              </w:rPr>
            </w:pPr>
            <w:r>
              <w:rPr>
                <w:rFonts w:hint="eastAsia" w:ascii="宋体" w:hAnsi="宋体"/>
              </w:rPr>
              <w:t xml:space="preserve">保安服务工作方案（8分）：科学、严密、合理，描述详细且具有针对性的得8分，较合理、严密、描述较为详细，不存在实施难度的得5分，基本合理、描述一般、存在可操作性得3分，具有不合理项、描述欠缺、存在实施难度得1分，不提供不得分。</w:t>
            </w:r>
            <w:r/>
          </w:p>
          <w:p>
            <w:pPr>
              <w:numPr>
                <w:ilvl w:val="0"/>
                <w:numId w:val="9"/>
              </w:numPr>
              <w:jc w:val="left"/>
              <w:spacing w:line="440" w:lineRule="exact"/>
              <w:rPr>
                <w:rFonts w:ascii="宋体" w:hAnsi="宋体"/>
              </w:rPr>
            </w:pPr>
            <w:r>
              <w:rPr>
                <w:rFonts w:hint="eastAsia" w:ascii="宋体" w:hAnsi="宋体"/>
              </w:rPr>
              <w:t xml:space="preserve">应对涉医警情、处理突发事件处理预案（8分）：科学、严密、合理，描述详细且具有针对性的得8分，较合理、严密、描述较为详细，不存在实施难度的得5分，基本合理、描述一般、存在可操作性得3分，具有不合理项、描述欠缺、存在实施难度得1分，不提供不得分。</w:t>
            </w:r>
            <w:r/>
          </w:p>
          <w:p>
            <w:pPr>
              <w:spacing w:line="440" w:lineRule="exact"/>
              <w:widowControl/>
              <w:rPr>
                <w:rFonts w:ascii="宋体" w:hAnsi="宋体"/>
              </w:rPr>
            </w:pPr>
            <w:r>
              <w:rPr>
                <w:rFonts w:hint="eastAsia" w:ascii="宋体" w:hAnsi="宋体"/>
              </w:rPr>
              <w:t xml:space="preserve">3、日常培训方案</w:t>
            </w:r>
            <w:bookmarkStart w:id="64" w:name="OLE_LINK5"/>
            <w:r/>
            <w:bookmarkStart w:id="65" w:name="OLE_LINK6"/>
            <w:r>
              <w:rPr>
                <w:rFonts w:hint="eastAsia" w:ascii="宋体" w:hAnsi="宋体"/>
              </w:rPr>
              <w:t xml:space="preserve">（8分）</w:t>
            </w:r>
            <w:bookmarkEnd w:id="64"/>
            <w:r/>
            <w:bookmarkEnd w:id="65"/>
            <w:r>
              <w:rPr>
                <w:rFonts w:hint="eastAsia" w:ascii="宋体" w:hAnsi="宋体"/>
              </w:rPr>
              <w:t xml:space="preserve">：方案的全面性、科学性、合理性以及针对性较强得8分，方案的全面性、科学性、合理性以及针对性良好得5分，方案的全面性、科学性、合理性以及针对性一般得2分，没有不得分。</w:t>
            </w:r>
            <w:r/>
          </w:p>
          <w:p>
            <w:pPr>
              <w:jc w:val="left"/>
              <w:spacing w:line="360" w:lineRule="auto"/>
              <w:rPr>
                <w:rFonts w:ascii="宋体" w:hAnsi="宋体" w:cs="楷体"/>
                <w:szCs w:val="21"/>
              </w:rPr>
            </w:pPr>
            <w:r>
              <w:rPr>
                <w:rFonts w:hint="eastAsia" w:ascii="宋体" w:hAnsi="宋体"/>
              </w:rPr>
              <w:t xml:space="preserve">4、具有科技信息化管理平台（8分）：为医院安保与停车管理服务提供科技信息化服务支撑，包含利用信息化方式提供实时信息传送、监管管理、联动保障等支撑服务等，方案应完整、细致（8分）：方案的全面性、科学性、合理性以及针对性较强得8分，方案的全面性、科学性、合理性以及针对性良好得5分，方案的全面性、科学性、合理性以及针对性一般得2分，没有不得分。（需上传提供科技信息化管理平台视频演示讲解相关功能，视频时长不超过15分钟）。</w:t>
            </w:r>
            <w:r/>
          </w:p>
        </w:tc>
      </w:tr>
      <w:tr>
        <w:trPr>
          <w:trHeight w:val="782"/>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szCs w:val="21"/>
              </w:rPr>
            </w:pPr>
            <w:r>
              <w:rPr>
                <w:rFonts w:hint="eastAsia" w:ascii="宋体" w:hAnsi="宋体"/>
              </w:rPr>
              <w:t xml:space="preserve">企业实力</w:t>
            </w:r>
            <w:r/>
          </w:p>
          <w:p>
            <w:pPr>
              <w:jc w:val="center"/>
              <w:spacing w:line="360" w:lineRule="auto"/>
              <w:rPr>
                <w:rFonts w:ascii="宋体" w:hAnsi="宋体"/>
                <w:szCs w:val="21"/>
              </w:rPr>
            </w:pPr>
            <w:r>
              <w:rPr>
                <w:rFonts w:hint="eastAsia" w:ascii="宋体" w:hAnsi="宋体"/>
              </w:rPr>
              <w:t xml:space="preserve">26分</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ascii="宋体" w:hAnsi="宋体"/>
                <w:szCs w:val="21"/>
              </w:rPr>
            </w:pPr>
            <w:r>
              <w:rPr>
                <w:rFonts w:hint="eastAsia" w:ascii="宋体" w:hAnsi="宋体"/>
              </w:rPr>
              <w:t xml:space="preserve">资质经验</w:t>
            </w:r>
            <w:r/>
          </w:p>
          <w:p>
            <w:pPr>
              <w:jc w:val="center"/>
              <w:spacing w:line="360" w:lineRule="auto"/>
              <w:rPr>
                <w:rFonts w:ascii="宋体" w:hAnsi="宋体"/>
                <w:szCs w:val="21"/>
              </w:rPr>
            </w:pPr>
            <w:r>
              <w:rPr>
                <w:rFonts w:hint="eastAsia" w:ascii="宋体" w:hAnsi="宋体"/>
              </w:rPr>
              <w:t xml:space="preserve">（26分）</w:t>
            </w:r>
            <w:r/>
          </w:p>
        </w:tc>
        <w:tc>
          <w:tcPr>
            <w:tcBorders>
              <w:top w:val="single" w:color="auto" w:sz="4" w:space="0"/>
              <w:left w:val="none" w:color="000000" w:sz="4" w:space="0"/>
              <w:bottom w:val="single" w:color="auto" w:sz="4" w:space="0"/>
              <w:right w:val="single" w:color="auto" w:sz="4" w:space="0"/>
            </w:tcBorders>
            <w:tcW w:w="6738" w:type="dxa"/>
            <w:vAlign w:val="center"/>
            <w:textDirection w:val="lrTb"/>
            <w:noWrap w:val="false"/>
          </w:tcPr>
          <w:p>
            <w:pPr>
              <w:spacing w:line="440" w:lineRule="exact"/>
              <w:widowControl/>
              <w:rPr>
                <w:rFonts w:ascii="宋体" w:hAnsi="宋体"/>
                <w:szCs w:val="21"/>
              </w:rPr>
            </w:pPr>
            <w:r>
              <w:rPr>
                <w:rFonts w:hint="eastAsia" w:ascii="宋体" w:hAnsi="宋体"/>
              </w:rPr>
              <w:t xml:space="preserve">1、项目负责人(男性)年龄在45周岁（含）以下，具有大专及以上学历、退伍军人、持高级保安员证书、具有市场监督管理部门颁发的《特种设备安全管理员》证书A证，具有中级及以上消防设施操作员证书，全部符合得5分，缺一项扣1分。（须提供相关证明材料及投标人为其缴纳的近三个月任意一个月的社保证明，原件扫描上传）。</w:t>
            </w:r>
            <w:r/>
          </w:p>
          <w:p>
            <w:pPr>
              <w:jc w:val="left"/>
              <w:spacing w:line="360" w:lineRule="auto"/>
              <w:rPr>
                <w:rFonts w:ascii="宋体" w:hAnsi="宋体"/>
              </w:rPr>
            </w:pPr>
            <w:r>
              <w:rPr>
                <w:rFonts w:hint="eastAsia" w:ascii="宋体" w:hAnsi="宋体"/>
              </w:rPr>
              <w:t xml:space="preserve">2、保安队员（项目负责人除外）具有初级及以上应急救援员证，有一人得1分，满分3分。（提供相关证明材料及投标人为其缴纳的近3个月任意一个月的社保证明，原件扫描上传）。</w:t>
            </w:r>
            <w:r/>
          </w:p>
          <w:p>
            <w:pPr>
              <w:jc w:val="left"/>
              <w:spacing w:line="360" w:lineRule="auto"/>
              <w:rPr>
                <w:rFonts w:ascii="宋体" w:hAnsi="宋体"/>
              </w:rPr>
            </w:pPr>
            <w:r>
              <w:rPr>
                <w:rFonts w:hint="eastAsia" w:ascii="宋体" w:hAnsi="宋体"/>
              </w:rPr>
              <w:t xml:space="preserve">3、消控室人员6人具有建（构）筑物消防员/消防设施操作员中级证书，每多1人得2分，本项共8分。（提供相关证明材料及投标人为其缴纳的近3个月任意一个月的社保证明，原件扫描上传）。</w:t>
            </w:r>
            <w:r/>
          </w:p>
          <w:p>
            <w:pPr>
              <w:spacing w:line="440" w:lineRule="exact"/>
              <w:widowControl/>
              <w:rPr>
                <w:rFonts w:ascii="宋体" w:hAnsi="宋体"/>
              </w:rPr>
            </w:pPr>
            <w:r>
              <w:rPr>
                <w:rFonts w:hint="eastAsia" w:ascii="宋体" w:hAnsi="宋体"/>
              </w:rPr>
              <w:t xml:space="preserve">4、</w:t>
            </w:r>
            <w:r>
              <w:rPr>
                <w:rFonts w:hint="eastAsia" w:ascii="宋体" w:hAnsi="宋体" w:cs="宋体"/>
                <w:szCs w:val="21"/>
                <w:highlight w:val="yellow"/>
              </w:rPr>
              <w:t xml:space="preserve">投标人2022 年1月1日(以证书或文件颁发时间为准)以来获得过省</w:t>
            </w:r>
            <w:r>
              <w:rPr>
                <w:rFonts w:hint="eastAsia" w:ascii="宋体" w:hAnsi="宋体" w:cs="宋体"/>
                <w:szCs w:val="21"/>
                <w:highlight w:val="yellow"/>
              </w:rPr>
              <w:t xml:space="preserve">级及以上行政主管部门颁发的荣誉或表彰，有一个得2分，地市级行政主管部门颁发的荣誉或表彰，有一个得1分，满分4分。</w:t>
            </w:r>
            <w:r>
              <w:rPr>
                <w:rFonts w:hint="eastAsia" w:ascii="宋体" w:hAnsi="宋体"/>
              </w:rPr>
              <w:t xml:space="preserve">（以荣誉证书或文件颁发时间为准，提供相关证明资料，原件扫描上传）</w:t>
            </w:r>
            <w:r/>
          </w:p>
          <w:p>
            <w:pPr>
              <w:jc w:val="left"/>
              <w:spacing w:line="360" w:lineRule="auto"/>
              <w:rPr>
                <w:rFonts w:ascii="宋体" w:hAnsi="宋体"/>
              </w:rPr>
            </w:pPr>
            <w:r>
              <w:rPr>
                <w:rFonts w:hint="eastAsia" w:ascii="宋体" w:hAnsi="宋体"/>
              </w:rPr>
              <w:t xml:space="preserve">5、投标人2022年1月1日至今投标人合同服务期内的服务单位获得与本项目相关的专项荣誉或表彰：省级及以上行政主管部门颁发的荣誉或表彰，有一个得2分；地市级行政主管部门颁发的荣誉或表彰，有一个得1分。本项最高得2分。（本项奖项颁发机构应为相关行政主管部门，具体时间以相关行政主管部门发文时间为准。同一服务单位同一年度不重复得分。投标人获奖的须提供相关荣誉证书或证明材料原件扫描上传（加盖公章），服务单位获奖的须提供与服务单位合同、所获荣誉相关证明材料原件扫描上传加盖投标单位，否则不得分。）</w:t>
            </w:r>
            <w:r/>
          </w:p>
          <w:p>
            <w:pPr>
              <w:spacing w:line="440" w:lineRule="exact"/>
              <w:widowControl/>
              <w:rPr>
                <w:rFonts w:eastAsia="楷体_GB2312"/>
                <w:szCs w:val="21"/>
              </w:rPr>
            </w:pPr>
            <w:r>
              <w:rPr>
                <w:rFonts w:hint="eastAsia" w:ascii="宋体" w:hAnsi="宋体"/>
              </w:rPr>
              <w:t xml:space="preserve">6、投标人具有在有效期内的保安服务管理体系认证、防暴力管理体系证书、反恐安全管理体系证书、应急预案管理能力评价管理体系证书，且证书在国家认证认可监督管理委员会网站可查并有效的，有一个得1分，满分4分。（提供国家认定的认证机构出具的有效期证书原件扫描上传及国家认监委网站查询截图）</w:t>
            </w:r>
            <w:r/>
          </w:p>
        </w:tc>
      </w:tr>
      <w:tr>
        <w:trPr>
          <w:trHeight w:val="110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szCs w:val="21"/>
              </w:rPr>
            </w:pPr>
            <w:r>
              <w:rPr>
                <w:rFonts w:hint="eastAsia" w:ascii="宋体" w:hAnsi="宋体"/>
              </w:rPr>
              <w:t xml:space="preserve">业绩</w:t>
            </w:r>
            <w:r/>
          </w:p>
          <w:p>
            <w:pPr>
              <w:jc w:val="center"/>
              <w:spacing w:line="360" w:lineRule="auto"/>
              <w:rPr>
                <w:rFonts w:ascii="宋体" w:hAnsi="宋体"/>
                <w:szCs w:val="21"/>
              </w:rPr>
            </w:pPr>
            <w:r>
              <w:rPr>
                <w:rFonts w:hint="eastAsia" w:ascii="宋体" w:hAnsi="宋体"/>
              </w:rPr>
              <w:t xml:space="preserve">9分</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ascii="宋体" w:hAnsi="宋体"/>
                <w:szCs w:val="21"/>
              </w:rPr>
            </w:pPr>
            <w:r>
              <w:rPr>
                <w:rFonts w:hint="eastAsia" w:ascii="宋体" w:hAnsi="宋体"/>
              </w:rPr>
              <w:t xml:space="preserve">公司业绩</w:t>
            </w:r>
            <w:r/>
          </w:p>
          <w:p>
            <w:pPr>
              <w:jc w:val="center"/>
              <w:spacing w:line="360" w:lineRule="auto"/>
              <w:rPr>
                <w:rFonts w:ascii="宋体" w:hAnsi="宋体"/>
                <w:szCs w:val="21"/>
              </w:rPr>
            </w:pPr>
            <w:r>
              <w:rPr>
                <w:rFonts w:hint="eastAsia" w:ascii="宋体" w:hAnsi="宋体"/>
              </w:rPr>
              <w:t xml:space="preserve">（9分）</w:t>
            </w:r>
            <w:r/>
          </w:p>
        </w:tc>
        <w:tc>
          <w:tcPr>
            <w:tcBorders>
              <w:top w:val="single" w:color="auto" w:sz="4" w:space="0"/>
              <w:left w:val="none" w:color="000000" w:sz="4" w:space="0"/>
              <w:bottom w:val="single" w:color="auto" w:sz="4" w:space="0"/>
              <w:right w:val="single" w:color="auto" w:sz="4" w:space="0"/>
            </w:tcBorders>
            <w:tcW w:w="6738" w:type="dxa"/>
            <w:vAlign w:val="center"/>
            <w:textDirection w:val="lrTb"/>
            <w:noWrap w:val="false"/>
          </w:tcPr>
          <w:p>
            <w:pPr>
              <w:jc w:val="left"/>
              <w:spacing w:line="360" w:lineRule="auto"/>
              <w:rPr>
                <w:rFonts w:ascii="宋体" w:hAnsi="宋体"/>
                <w:szCs w:val="21"/>
              </w:rPr>
            </w:pPr>
            <w:r>
              <w:rPr>
                <w:rFonts w:hint="eastAsia" w:ascii="宋体" w:hAnsi="宋体"/>
              </w:rPr>
              <w:t xml:space="preserve">2022年1月1日至今实际已发生的类似项目业绩，有一个得3分（同一个项目不重复计分）；本项最高得9分。（以合同签订时间为准，原件扫描上传）</w:t>
            </w:r>
            <w:r/>
          </w:p>
        </w:tc>
      </w:tr>
    </w:tbl>
    <w:p>
      <w:pPr>
        <w:numPr>
          <w:ilvl w:val="0"/>
          <w:numId w:val="10"/>
        </w:numPr>
        <w:spacing w:line="360" w:lineRule="auto"/>
        <w:rPr>
          <w:rFonts w:ascii="宋体" w:hAnsi="宋体"/>
        </w:rPr>
      </w:pPr>
      <w:r>
        <w:rPr>
          <w:rFonts w:hint="eastAsia" w:ascii="宋体" w:hAnsi="宋体"/>
        </w:rPr>
        <w:t xml:space="preserve">评审委员会启动异常低价投标（响应）审查的情形和具体要求，包括：</w:t>
      </w:r>
      <w:r/>
    </w:p>
    <w:p>
      <w:pPr>
        <w:ind w:firstLine="420"/>
        <w:spacing w:line="360" w:lineRule="auto"/>
        <w:rPr>
          <w:rFonts w:ascii="宋体" w:hAnsi="宋体"/>
        </w:rPr>
      </w:pPr>
      <w:r>
        <w:rPr>
          <w:rFonts w:hint="eastAsia" w:ascii="宋体" w:hAnsi="宋体"/>
        </w:rPr>
        <w:t xml:space="preserve">（一）评审过程中出现下列情形之一的，评审委员会应当启动异常低价投标（响应）审查程序： </w:t>
      </w:r>
      <w:r/>
    </w:p>
    <w:p>
      <w:pPr>
        <w:ind w:firstLine="420"/>
        <w:spacing w:line="360" w:lineRule="auto"/>
        <w:rPr>
          <w:rFonts w:ascii="宋体" w:hAnsi="Times New Roman" w:cs="宋体"/>
          <w:szCs w:val="21"/>
        </w:rPr>
      </w:pPr>
      <w:r>
        <w:rPr>
          <w:rFonts w:hint="eastAsia" w:ascii="宋体" w:hAnsi="Times New Roman" w:cs="宋体"/>
          <w:szCs w:val="21"/>
        </w:rPr>
        <w:t xml:space="preserve">1、投标（响应）报价低于采购项目预算 50% 的，即投标（响应）报价&lt;采购项目预算×50% ；</w:t>
      </w:r>
      <w:r/>
    </w:p>
    <w:p>
      <w:pPr>
        <w:ind w:firstLine="420"/>
        <w:spacing w:line="360" w:lineRule="auto"/>
        <w:rPr>
          <w:rFonts w:ascii="宋体" w:hAnsi="Times New Roman" w:cs="宋体"/>
          <w:szCs w:val="21"/>
        </w:rPr>
      </w:pPr>
      <w:r>
        <w:rPr>
          <w:rFonts w:hint="eastAsia" w:ascii="宋体" w:hAnsi="Times New Roman" w:cs="宋体"/>
          <w:szCs w:val="21"/>
        </w:rPr>
        <w:t xml:space="preserve">2、投标（响应）报价低于采购项目最高限价 45% 的，即投标（响应）报价&lt;采购项目最高限价×45% ；</w:t>
      </w:r>
      <w:r/>
    </w:p>
    <w:p>
      <w:pPr>
        <w:ind w:firstLine="420"/>
        <w:spacing w:line="360" w:lineRule="auto"/>
        <w:rPr>
          <w:rFonts w:ascii="宋体" w:hAnsi="Times New Roman" w:cs="宋体"/>
          <w:szCs w:val="21"/>
        </w:rPr>
      </w:pPr>
      <w:r>
        <w:rPr>
          <w:rFonts w:hint="eastAsia" w:ascii="宋体" w:hAnsi="Times New Roman" w:cs="宋体"/>
          <w:szCs w:val="21"/>
        </w:rPr>
        <w:t xml:space="preserve">3、评审委员会认定的供应商报价过低、有可能影响产品质量或者不能诚信履约的其他情形。</w:t>
      </w:r>
      <w:r/>
    </w:p>
    <w:p>
      <w:pPr>
        <w:ind w:firstLine="420"/>
        <w:spacing w:line="360" w:lineRule="auto"/>
        <w:rPr>
          <w:rFonts w:ascii="宋体" w:hAnsi="宋体" w:cs="宋体"/>
          <w:b/>
          <w:szCs w:val="21"/>
        </w:rPr>
      </w:pPr>
      <w:r>
        <w:rPr>
          <w:rFonts w:hint="eastAsia" w:ascii="宋体" w:hAnsi="Times New Roman" w:cs="宋体"/>
          <w:szCs w:val="21"/>
        </w:rPr>
        <w:t xml:space="preserve">（二）启动异常低价投标（响应）审查后，评审委员会应当要求相关供应商在评标现场合理的时间内，提供项目具体成本测算等与报价合理性相关的书面说明及相关证明材料，对</w:t>
      </w:r>
      <w:r>
        <w:rPr>
          <w:rFonts w:hint="eastAsia" w:ascii="宋体" w:hAnsi="Times New Roman" w:cs="宋体"/>
          <w:szCs w:val="21"/>
        </w:rPr>
        <w:t xml:space="preserve">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bCs/>
          <w:i/>
          <w:szCs w:val="21"/>
          <w:u w:val="singl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i/>
          <w:szCs w:val="21"/>
          <w:u w:val="single"/>
        </w:rPr>
      </w:r>
      <w:r/>
    </w:p>
    <w:p>
      <w:pPr>
        <w:spacing w:line="360" w:lineRule="auto"/>
        <w:rPr>
          <w:rFonts w:ascii="黑体" w:eastAsia="黑体"/>
          <w:bCs/>
          <w:sz w:val="44"/>
        </w:rPr>
      </w:pPr>
      <w:r>
        <w:rPr>
          <w:rFonts w:ascii="黑体" w:eastAsia="黑体"/>
          <w:bCs/>
          <w:sz w:val="44"/>
        </w:rPr>
      </w:r>
      <w:r/>
    </w:p>
    <w:p>
      <w:pPr>
        <w:pStyle w:val="743"/>
        <w:jc w:val="center"/>
        <w:spacing w:line="360" w:lineRule="auto"/>
        <w:rPr>
          <w:rFonts w:ascii="宋体" w:hAnsi="宋体"/>
        </w:rPr>
      </w:pPr>
      <w:r>
        <w:rPr>
          <w:rFonts w:hint="eastAsia" w:ascii="宋体" w:hAnsi="宋体"/>
        </w:rPr>
        <w:t xml:space="preserve"> </w:t>
      </w:r>
      <w:bookmarkStart w:id="66" w:name="_Toc191970194"/>
      <w:r>
        <w:rPr>
          <w:rFonts w:hint="eastAsia" w:ascii="宋体" w:hAnsi="宋体"/>
        </w:rPr>
        <w:t xml:space="preserve">第六章 投标文件格式</w:t>
      </w:r>
      <w:bookmarkEnd w:id="66"/>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44"/>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7" w:name="_Toc191970195"/>
      <w:r>
        <w:rPr>
          <w:rFonts w:hint="eastAsia" w:asciiTheme="minorEastAsia" w:hAnsiTheme="minorEastAsia" w:eastAsiaTheme="minorEastAsia"/>
          <w:sz w:val="32"/>
        </w:rPr>
        <w:t xml:space="preserve">一、资格审查响应对照表</w:t>
      </w:r>
      <w:bookmarkEnd w:id="67"/>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jc w:val="left"/>
              <w:spacing w:line="360" w:lineRule="auto"/>
            </w:pPr>
            <w:r>
              <w:rPr>
                <w:rFonts w:hint="eastAsia" w:ascii="宋体" w:hAnsi="宋体"/>
                <w:iCs/>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 w:val="18"/>
                <w:szCs w:val="18"/>
              </w:rPr>
              <w:t xml:space="preserve">供应商应具有《保安服务许可证》或《保安从业单位备案管理证》。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750"/>
      </w:pPr>
      <w:r/>
      <w:r/>
    </w:p>
    <w:p>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772"/>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772"/>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772"/>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772"/>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772"/>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772"/>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72"/>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72"/>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72"/>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72"/>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772"/>
        <w:ind w:firstLine="479"/>
        <w:spacing w:before="0" w:after="0"/>
        <w:rPr>
          <w:rFonts w:ascii="宋体" w:hAnsi="宋体"/>
          <w:sz w:val="21"/>
          <w:szCs w:val="21"/>
        </w:rPr>
      </w:pPr>
      <w:r>
        <w:rPr>
          <w:rFonts w:hint="eastAsia" w:ascii="宋体" w:hAnsi="宋体"/>
          <w:sz w:val="21"/>
          <w:szCs w:val="21"/>
        </w:rPr>
        <w:t xml:space="preserve">地 址：</w:t>
      </w:r>
      <w:r/>
    </w:p>
    <w:p>
      <w:pPr>
        <w:pStyle w:val="772"/>
        <w:ind w:firstLine="479"/>
        <w:spacing w:before="0" w:after="0"/>
        <w:rPr>
          <w:rFonts w:ascii="宋体" w:hAnsi="宋体"/>
          <w:sz w:val="21"/>
          <w:szCs w:val="21"/>
        </w:rPr>
      </w:pPr>
      <w:r>
        <w:rPr>
          <w:rFonts w:hint="eastAsia" w:ascii="宋体" w:hAnsi="宋体"/>
          <w:sz w:val="21"/>
          <w:szCs w:val="21"/>
        </w:rPr>
        <w:t xml:space="preserve">邮 编：</w:t>
      </w:r>
      <w:r/>
    </w:p>
    <w:p>
      <w:pPr>
        <w:pStyle w:val="772"/>
        <w:ind w:firstLine="479"/>
        <w:spacing w:before="0" w:after="0"/>
        <w:rPr>
          <w:rFonts w:ascii="宋体" w:hAnsi="宋体"/>
          <w:sz w:val="21"/>
          <w:szCs w:val="21"/>
        </w:rPr>
      </w:pPr>
      <w:r>
        <w:rPr>
          <w:rFonts w:hint="eastAsia" w:ascii="宋体" w:hAnsi="宋体"/>
          <w:sz w:val="21"/>
          <w:szCs w:val="21"/>
        </w:rPr>
        <w:t xml:space="preserve">电 话： </w:t>
      </w:r>
      <w:r/>
    </w:p>
    <w:p>
      <w:pPr>
        <w:pStyle w:val="772"/>
        <w:ind w:firstLine="479"/>
        <w:spacing w:before="0" w:after="0"/>
        <w:rPr>
          <w:rFonts w:ascii="宋体" w:hAnsi="宋体"/>
          <w:sz w:val="21"/>
          <w:szCs w:val="21"/>
        </w:rPr>
      </w:pPr>
      <w:r>
        <w:rPr>
          <w:rFonts w:hint="eastAsia" w:ascii="宋体" w:hAnsi="宋体"/>
          <w:sz w:val="21"/>
          <w:szCs w:val="21"/>
        </w:rPr>
        <w:t xml:space="preserve">传 真： </w:t>
      </w:r>
      <w:r/>
    </w:p>
    <w:p>
      <w:pPr>
        <w:pStyle w:val="772"/>
        <w:ind w:firstLine="479"/>
        <w:spacing w:before="0" w:after="0"/>
        <w:rPr>
          <w:rFonts w:ascii="宋体" w:hAnsi="宋体"/>
          <w:sz w:val="21"/>
          <w:szCs w:val="21"/>
        </w:rPr>
      </w:pPr>
      <w:r>
        <w:rPr>
          <w:rFonts w:hint="eastAsia" w:ascii="宋体" w:hAnsi="宋体"/>
          <w:sz w:val="21"/>
          <w:szCs w:val="21"/>
        </w:rPr>
        <w:t xml:space="preserve">投标人开户行：</w:t>
      </w:r>
      <w:r/>
    </w:p>
    <w:p>
      <w:pPr>
        <w:pStyle w:val="772"/>
        <w:ind w:firstLine="479"/>
        <w:spacing w:before="0" w:after="0"/>
        <w:rPr>
          <w:rFonts w:ascii="宋体" w:hAnsi="宋体"/>
          <w:sz w:val="21"/>
          <w:szCs w:val="21"/>
        </w:rPr>
      </w:pPr>
      <w:r>
        <w:rPr>
          <w:rFonts w:hint="eastAsia" w:ascii="宋体" w:hAnsi="宋体"/>
          <w:sz w:val="21"/>
          <w:szCs w:val="21"/>
        </w:rPr>
        <w:t xml:space="preserve">账 户： </w:t>
      </w:r>
      <w:r/>
    </w:p>
    <w:p>
      <w:pPr>
        <w:pStyle w:val="772"/>
        <w:ind w:firstLine="479"/>
        <w:spacing w:before="0" w:after="0"/>
        <w:rPr>
          <w:rFonts w:ascii="宋体" w:hAnsi="宋体"/>
          <w:sz w:val="21"/>
          <w:szCs w:val="21"/>
        </w:rPr>
      </w:pPr>
      <w:r>
        <w:rPr>
          <w:rFonts w:hint="eastAsia" w:ascii="宋体" w:hAnsi="宋体"/>
          <w:sz w:val="21"/>
          <w:szCs w:val="21"/>
        </w:rPr>
        <w:t xml:space="preserve">行 号：</w:t>
      </w:r>
      <w:r/>
    </w:p>
    <w:p>
      <w:pPr>
        <w:pStyle w:val="772"/>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73"/>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773"/>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773"/>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773"/>
        <w:ind w:firstLine="0"/>
        <w:spacing w:line="360" w:lineRule="auto"/>
        <w:rPr>
          <w:rFonts w:ascii="宋体" w:hAnsi="宋体"/>
          <w:sz w:val="21"/>
          <w:szCs w:val="21"/>
        </w:rPr>
      </w:pPr>
      <w:r>
        <w:rPr>
          <w:rFonts w:ascii="宋体" w:hAnsi="宋体"/>
          <w:sz w:val="21"/>
          <w:szCs w:val="21"/>
        </w:rPr>
        <w:t xml:space="preserve">    </w:t>
      </w:r>
      <w:r/>
    </w:p>
    <w:p>
      <w:pPr>
        <w:pStyle w:val="773"/>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773"/>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73"/>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773"/>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773"/>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44"/>
        <w:spacing w:line="360" w:lineRule="auto"/>
        <w:rPr>
          <w:rFonts w:asciiTheme="minorEastAsia" w:hAnsiTheme="minorEastAsia" w:eastAsiaTheme="minorEastAsia"/>
          <w:sz w:val="32"/>
        </w:rPr>
      </w:pPr>
      <w:r/>
      <w:bookmarkStart w:id="68" w:name="_Toc191970196"/>
      <w:r>
        <w:rPr>
          <w:rFonts w:hint="eastAsia" w:asciiTheme="minorEastAsia" w:hAnsiTheme="minorEastAsia" w:eastAsiaTheme="minorEastAsia"/>
          <w:sz w:val="32"/>
        </w:rPr>
        <w:t xml:space="preserve">二、符合性审查响应对照表</w:t>
      </w:r>
      <w:bookmarkEnd w:id="68"/>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744"/>
        <w:spacing w:line="360" w:lineRule="auto"/>
        <w:rPr>
          <w:rFonts w:asciiTheme="minorEastAsia" w:hAnsiTheme="minorEastAsia" w:eastAsiaTheme="minorEastAsia"/>
          <w:sz w:val="32"/>
        </w:rPr>
      </w:pPr>
      <w:r/>
      <w:bookmarkStart w:id="69" w:name="_Toc191970197"/>
      <w:r>
        <w:rPr>
          <w:rFonts w:hint="eastAsia" w:asciiTheme="minorEastAsia" w:hAnsiTheme="minorEastAsia" w:eastAsiaTheme="minorEastAsia"/>
          <w:sz w:val="32"/>
        </w:rPr>
        <w:t xml:space="preserve">三、非实质性响应对照表</w:t>
      </w:r>
      <w:bookmarkEnd w:id="69"/>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（租赁和商业服务业）行业（不得对行业类别修改）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（租赁和商业服务业）行业（不得对行业类别修改）；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768"/>
          <w:rFonts w:ascii="宋体" w:hAnsi="宋体" w:cs="仿宋"/>
          <w:szCs w:val="21"/>
        </w:rPr>
      </w:pPr>
      <w:r>
        <w:rPr>
          <w:rFonts w:ascii="宋体" w:hAnsi="宋体" w:cs="仿宋"/>
          <w:szCs w:val="21"/>
        </w:rPr>
      </w:r>
      <w:r/>
    </w:p>
    <w:p>
      <w:pPr>
        <w:jc w:val="center"/>
        <w:rPr>
          <w:rStyle w:val="768"/>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768"/>
          <w:rFonts w:ascii="Times New Roman" w:hAnsi="Times New Roman" w:cs="仿宋"/>
          <w:szCs w:val="21"/>
        </w:rPr>
      </w:pPr>
      <w:r>
        <w:rPr>
          <w:rStyle w:val="768"/>
          <w:rFonts w:hint="eastAsia" w:ascii="Times New Roman" w:hAnsi="Times New Roman" w:cs="仿宋"/>
          <w:szCs w:val="21"/>
        </w:rPr>
        <w:t xml:space="preserve">中小微企业划型标准</w:t>
      </w:r>
      <w:r/>
    </w:p>
    <w:p>
      <w:pPr>
        <w:pStyle w:val="764"/>
        <w:ind w:firstLine="420"/>
        <w:spacing w:line="360" w:lineRule="auto"/>
        <w:widowControl/>
        <w:rPr>
          <w:sz w:val="21"/>
          <w:szCs w:val="21"/>
        </w:rPr>
      </w:pPr>
      <w:r>
        <w:rPr>
          <w:rFonts w:hint="eastAsia" w:cs="仿宋"/>
          <w:sz w:val="21"/>
          <w:szCs w:val="21"/>
        </w:rPr>
        <w:t xml:space="preserve">    </w:t>
      </w:r>
      <w:r>
        <w:rPr>
          <w:rStyle w:val="768"/>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6000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资产总额（</w:t>
            </w:r>
            <w:r>
              <w:rPr>
                <w:rStyle w:val="768"/>
                <w:rFonts w:hint="eastAsia" w:cs="仿宋"/>
                <w:sz w:val="21"/>
                <w:szCs w:val="21"/>
              </w:rPr>
              <w:t xml:space="preserve">Z</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5000</w:t>
            </w:r>
            <w:r>
              <w:rPr>
                <w:rStyle w:val="768"/>
                <w:rFonts w:hint="eastAsia" w:cs="仿宋"/>
                <w:sz w:val="21"/>
                <w:szCs w:val="21"/>
              </w:rPr>
              <w:t xml:space="preserve">≤</w:t>
            </w: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ind w:firstLine="420"/>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资产总额（</w:t>
            </w:r>
            <w:r>
              <w:rPr>
                <w:rStyle w:val="768"/>
                <w:rFonts w:hint="eastAsia" w:cs="仿宋"/>
                <w:sz w:val="21"/>
                <w:szCs w:val="21"/>
              </w:rPr>
              <w:t xml:space="preserve">Z</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5000</w:t>
            </w:r>
            <w:r>
              <w:rPr>
                <w:rStyle w:val="768"/>
                <w:rFonts w:hint="eastAsia" w:cs="仿宋"/>
                <w:sz w:val="21"/>
                <w:szCs w:val="21"/>
              </w:rPr>
              <w:t xml:space="preserve">≤</w:t>
            </w: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2000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300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营业收入（</w:t>
            </w:r>
            <w:r>
              <w:rPr>
                <w:rStyle w:val="768"/>
                <w:rFonts w:hint="eastAsia" w:cs="仿宋"/>
                <w:sz w:val="21"/>
                <w:szCs w:val="21"/>
              </w:rPr>
              <w:t xml:space="preserve">Y</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500</w:t>
            </w:r>
            <w:r>
              <w:rPr>
                <w:rStyle w:val="768"/>
                <w:rFonts w:hint="eastAsia" w:cs="仿宋"/>
                <w:sz w:val="21"/>
                <w:szCs w:val="21"/>
              </w:rPr>
              <w:t xml:space="preserve">≤</w:t>
            </w: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64"/>
              <w:jc w:val="center"/>
              <w:spacing w:line="360" w:lineRule="auto"/>
              <w:widowControl/>
              <w:rPr>
                <w:sz w:val="21"/>
                <w:szCs w:val="21"/>
              </w:rPr>
            </w:pPr>
            <w:r>
              <w:rPr>
                <w:rStyle w:val="768"/>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资产总额（</w:t>
            </w:r>
            <w:r>
              <w:rPr>
                <w:rStyle w:val="768"/>
                <w:rFonts w:hint="eastAsia" w:cs="仿宋"/>
                <w:sz w:val="21"/>
                <w:szCs w:val="21"/>
              </w:rPr>
              <w:t xml:space="preserve">Z</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8000</w:t>
            </w:r>
            <w:r>
              <w:rPr>
                <w:rStyle w:val="768"/>
                <w:rFonts w:hint="eastAsia" w:cs="仿宋"/>
                <w:sz w:val="21"/>
                <w:szCs w:val="21"/>
              </w:rPr>
              <w:t xml:space="preserve">≤</w:t>
            </w: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Z</w:t>
            </w:r>
            <w:r>
              <w:rPr>
                <w:rStyle w:val="768"/>
                <w:rFonts w:hint="eastAsia" w:cs="仿宋"/>
                <w:sz w:val="21"/>
                <w:szCs w:val="21"/>
              </w:rPr>
              <w:t xml:space="preserve">＜</w:t>
            </w:r>
            <w:r>
              <w:rPr>
                <w:rStyle w:val="768"/>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Y</w:t>
            </w:r>
            <w:r>
              <w:rPr>
                <w:rStyle w:val="768"/>
                <w:rFonts w:hint="eastAsia" w:cs="仿宋"/>
                <w:sz w:val="21"/>
                <w:szCs w:val="21"/>
              </w:rPr>
              <w:t xml:space="preserve">＜</w:t>
            </w:r>
            <w:r>
              <w:rPr>
                <w:rStyle w:val="768"/>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从业人员（</w:t>
            </w:r>
            <w:r>
              <w:rPr>
                <w:rStyle w:val="768"/>
                <w:rFonts w:hint="eastAsia" w:cs="仿宋"/>
                <w:sz w:val="21"/>
                <w:szCs w:val="21"/>
              </w:rPr>
              <w:t xml:space="preserve">X</w:t>
            </w:r>
            <w:r>
              <w:rPr>
                <w:rStyle w:val="768"/>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10</w:t>
            </w:r>
            <w:r>
              <w:rPr>
                <w:rStyle w:val="768"/>
                <w:rFonts w:hint="eastAsia" w:cs="仿宋"/>
                <w:sz w:val="21"/>
                <w:szCs w:val="21"/>
              </w:rPr>
              <w:t xml:space="preserve">≤</w:t>
            </w: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64"/>
              <w:jc w:val="center"/>
              <w:spacing w:line="360" w:lineRule="auto"/>
              <w:widowControl/>
              <w:rPr>
                <w:sz w:val="21"/>
                <w:szCs w:val="21"/>
              </w:rPr>
            </w:pPr>
            <w:r>
              <w:rPr>
                <w:rStyle w:val="768"/>
                <w:rFonts w:hint="eastAsia" w:cs="仿宋"/>
                <w:sz w:val="21"/>
                <w:szCs w:val="21"/>
              </w:rPr>
              <w:t xml:space="preserve">X</w:t>
            </w:r>
            <w:r>
              <w:rPr>
                <w:rStyle w:val="768"/>
                <w:rFonts w:hint="eastAsia" w:cs="仿宋"/>
                <w:sz w:val="21"/>
                <w:szCs w:val="21"/>
              </w:rPr>
              <w:t xml:space="preserve">＜</w:t>
            </w:r>
            <w:r>
              <w:rPr>
                <w:rStyle w:val="768"/>
                <w:rFonts w:hint="eastAsia" w:cs="仿宋"/>
                <w:sz w:val="21"/>
                <w:szCs w:val="21"/>
              </w:rPr>
              <w:t xml:space="preserve">10</w:t>
            </w:r>
            <w:r/>
          </w:p>
        </w:tc>
      </w:tr>
    </w:tbl>
    <w:p>
      <w:pPr>
        <w:pStyle w:val="764"/>
        <w:ind w:firstLine="422"/>
        <w:spacing w:line="360" w:lineRule="auto"/>
        <w:widowControl/>
        <w:rPr>
          <w:rStyle w:val="768"/>
          <w:rFonts w:cs="仿宋"/>
          <w:sz w:val="21"/>
          <w:szCs w:val="21"/>
        </w:rPr>
      </w:pPr>
      <w:r>
        <w:rPr>
          <w:rStyle w:val="768"/>
          <w:rFonts w:hint="eastAsia" w:cs="仿宋"/>
          <w:sz w:val="21"/>
          <w:szCs w:val="21"/>
        </w:rPr>
        <w:t xml:space="preserve">说明：上述标准参照《关于印发中小企业划型标准规定的通知》（工信部联企业</w:t>
      </w:r>
      <w:r>
        <w:rPr>
          <w:rStyle w:val="768"/>
          <w:rFonts w:hint="eastAsia" w:cs="仿宋"/>
          <w:sz w:val="21"/>
          <w:szCs w:val="21"/>
        </w:rPr>
        <w:t xml:space="preserve">[2011]300</w:t>
      </w:r>
      <w:r>
        <w:rPr>
          <w:rStyle w:val="768"/>
          <w:rFonts w:hint="eastAsia" w:cs="仿宋"/>
          <w:sz w:val="21"/>
          <w:szCs w:val="21"/>
        </w:rPr>
        <w:t xml:space="preserve">号），大型、中型和小型企业须同时满足所列指标的下限，否则下划一档；微型企业只须满足所列指标中的一项即可。</w:t>
      </w:r>
      <w:r/>
    </w:p>
    <w:p>
      <w:pPr>
        <w:pStyle w:val="745"/>
        <w:spacing w:line="360" w:lineRule="auto"/>
        <w:rPr>
          <w:rStyle w:val="768"/>
          <w:rFonts w:cs="仿宋"/>
          <w:sz w:val="21"/>
          <w:szCs w:val="21"/>
        </w:rPr>
      </w:pPr>
      <w:r>
        <w:rPr>
          <w:rStyle w:val="768"/>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44"/>
        <w:spacing w:line="360" w:lineRule="auto"/>
        <w:rPr>
          <w:rFonts w:asciiTheme="minorEastAsia" w:hAnsiTheme="minorEastAsia" w:eastAsiaTheme="minorEastAsia"/>
          <w:sz w:val="32"/>
        </w:rPr>
      </w:pPr>
      <w:r/>
      <w:bookmarkStart w:id="70" w:name="_Toc191970198"/>
      <w:r>
        <w:rPr>
          <w:rFonts w:hint="eastAsia" w:asciiTheme="minorEastAsia" w:hAnsiTheme="minorEastAsia" w:eastAsiaTheme="minorEastAsia"/>
          <w:sz w:val="32"/>
        </w:rPr>
        <w:t xml:space="preserve">四、开标一览表</w:t>
      </w:r>
      <w:bookmarkEnd w:id="70"/>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  投标服务名称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5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772"/>
              <w:ind w:firstLine="0"/>
              <w:spacing w:before="0" w:after="0"/>
              <w:rPr>
                <w:rFonts w:ascii="宋体" w:hAnsi="宋体" w:cs="宋体"/>
                <w:sz w:val="21"/>
                <w:szCs w:val="21"/>
              </w:rPr>
            </w:pPr>
            <w:r>
              <w:rPr>
                <w:rFonts w:hint="eastAsia" w:ascii="宋体" w:hAnsi="宋体" w:cs="宋体"/>
                <w:sz w:val="21"/>
                <w:szCs w:val="21"/>
              </w:rPr>
              <w:t xml:space="preserve">大写：</w:t>
            </w:r>
            <w:r/>
          </w:p>
          <w:p>
            <w:pPr>
              <w:pStyle w:val="772"/>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772"/>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772"/>
              <w:ind w:firstLine="0"/>
              <w:spacing w:before="0" w:after="0"/>
              <w:rPr>
                <w:rFonts w:ascii="宋体" w:hAnsi="宋体" w:cs="宋体"/>
                <w:sz w:val="21"/>
                <w:szCs w:val="21"/>
              </w:rPr>
            </w:pPr>
            <w:r>
              <w:rPr>
                <w:rFonts w:ascii="宋体" w:hAnsi="宋体" w:cs="宋体"/>
                <w:sz w:val="21"/>
                <w:szCs w:val="21"/>
              </w:rPr>
            </w:r>
            <w:r/>
          </w:p>
        </w:tc>
      </w:tr>
    </w:tbl>
    <w:p>
      <w:pPr>
        <w:pStyle w:val="784"/>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50"/>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52"/>
        <w:ind w:firstLine="640"/>
        <w:spacing w:line="360" w:lineRule="auto"/>
        <w:rPr>
          <w:rFonts w:ascii="宋体" w:hAnsi="宋体"/>
          <w:sz w:val="32"/>
          <w:szCs w:val="32"/>
        </w:rPr>
      </w:pPr>
      <w:r>
        <w:rPr>
          <w:rFonts w:ascii="宋体" w:hAnsi="宋体"/>
          <w:sz w:val="32"/>
          <w:szCs w:val="32"/>
        </w:rPr>
      </w:r>
      <w:r/>
    </w:p>
    <w:p>
      <w:pPr>
        <w:pStyle w:val="752"/>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44"/>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71" w:name="_Toc191970199"/>
      <w:r>
        <w:rPr>
          <w:rFonts w:hint="eastAsia" w:asciiTheme="minorEastAsia" w:hAnsiTheme="minorEastAsia" w:eastAsiaTheme="minorEastAsia"/>
          <w:sz w:val="32"/>
        </w:rPr>
        <w:t xml:space="preserve">五、投标产品配置及分项报价表</w:t>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165"/>
        <w:gridCol w:w="828"/>
        <w:gridCol w:w="815"/>
        <w:gridCol w:w="1800"/>
        <w:gridCol w:w="2078"/>
      </w:tblGrid>
      <w:tr>
        <w:trPr>
          <w:trHeight w:val="640"/>
        </w:trPr>
        <w:tc>
          <w:tcPr>
            <w:tcW w:w="490" w:type="pct"/>
            <w:vAlign w:val="center"/>
            <w:textDirection w:val="lrTb"/>
            <w:noWrap w:val="false"/>
          </w:tcPr>
          <w:p>
            <w:pPr>
              <w:jc w:val="center"/>
              <w:spacing w:line="440" w:lineRule="exact"/>
              <w:rPr>
                <w:b/>
                <w:szCs w:val="21"/>
              </w:rPr>
            </w:pPr>
            <w:r>
              <w:rPr>
                <w:rFonts w:hint="eastAsia"/>
                <w:b/>
                <w:szCs w:val="21"/>
              </w:rPr>
              <w:t xml:space="preserve">序号</w:t>
            </w:r>
            <w:r/>
          </w:p>
        </w:tc>
        <w:tc>
          <w:tcPr>
            <w:tcW w:w="1270" w:type="pct"/>
            <w:vAlign w:val="center"/>
            <w:textDirection w:val="lrTb"/>
            <w:noWrap w:val="false"/>
          </w:tcPr>
          <w:p>
            <w:pPr>
              <w:jc w:val="center"/>
              <w:spacing w:line="440" w:lineRule="exact"/>
              <w:rPr>
                <w:b/>
                <w:szCs w:val="21"/>
              </w:rPr>
            </w:pPr>
            <w:r>
              <w:rPr>
                <w:rFonts w:hint="eastAsia"/>
                <w:b/>
                <w:szCs w:val="21"/>
              </w:rPr>
              <w:t xml:space="preserve">名</w:t>
            </w:r>
            <w:r>
              <w:rPr>
                <w:rFonts w:hint="eastAsia"/>
                <w:b/>
                <w:szCs w:val="21"/>
              </w:rPr>
              <w:t xml:space="preserve"> </w:t>
            </w:r>
            <w:r>
              <w:rPr>
                <w:rFonts w:hint="eastAsia"/>
                <w:b/>
                <w:szCs w:val="21"/>
              </w:rPr>
              <w:t xml:space="preserve">称</w:t>
            </w:r>
            <w:r/>
          </w:p>
        </w:tc>
        <w:tc>
          <w:tcPr>
            <w:tcW w:w="486" w:type="pct"/>
            <w:vAlign w:val="center"/>
            <w:textDirection w:val="lrTb"/>
            <w:noWrap w:val="false"/>
          </w:tcPr>
          <w:p>
            <w:pPr>
              <w:jc w:val="center"/>
              <w:spacing w:line="440" w:lineRule="exact"/>
              <w:rPr>
                <w:b/>
                <w:szCs w:val="21"/>
              </w:rPr>
            </w:pPr>
            <w:r>
              <w:rPr>
                <w:rFonts w:hint="eastAsia"/>
                <w:b/>
                <w:szCs w:val="21"/>
              </w:rPr>
              <w:t xml:space="preserve">数量</w:t>
            </w:r>
            <w:r/>
          </w:p>
        </w:tc>
        <w:tc>
          <w:tcPr>
            <w:tcW w:w="478" w:type="pct"/>
            <w:vAlign w:val="center"/>
            <w:textDirection w:val="lrTb"/>
            <w:noWrap w:val="false"/>
          </w:tcPr>
          <w:p>
            <w:pPr>
              <w:jc w:val="center"/>
              <w:spacing w:line="440" w:lineRule="exact"/>
              <w:rPr>
                <w:b/>
                <w:szCs w:val="21"/>
              </w:rPr>
            </w:pPr>
            <w:r>
              <w:rPr>
                <w:rFonts w:hint="eastAsia"/>
                <w:b/>
                <w:szCs w:val="21"/>
              </w:rPr>
              <w:t xml:space="preserve">单位</w:t>
            </w:r>
            <w:r/>
          </w:p>
        </w:tc>
        <w:tc>
          <w:tcPr>
            <w:tcW w:w="1056" w:type="pct"/>
            <w:vAlign w:val="center"/>
            <w:textDirection w:val="lrTb"/>
            <w:noWrap w:val="false"/>
          </w:tcPr>
          <w:p>
            <w:pPr>
              <w:jc w:val="center"/>
              <w:rPr>
                <w:b/>
                <w:szCs w:val="21"/>
              </w:rPr>
            </w:pPr>
            <w:r>
              <w:rPr>
                <w:rFonts w:hint="eastAsia"/>
                <w:b/>
                <w:szCs w:val="21"/>
              </w:rPr>
              <w:t xml:space="preserve">单价（元）</w:t>
            </w:r>
            <w:r/>
          </w:p>
        </w:tc>
        <w:tc>
          <w:tcPr>
            <w:tcW w:w="1219" w:type="pct"/>
            <w:vAlign w:val="center"/>
            <w:textDirection w:val="lrTb"/>
            <w:noWrap w:val="false"/>
          </w:tcPr>
          <w:p>
            <w:pPr>
              <w:jc w:val="center"/>
              <w:spacing w:line="440" w:lineRule="exact"/>
              <w:rPr>
                <w:b/>
                <w:szCs w:val="21"/>
              </w:rPr>
            </w:pPr>
            <w:r>
              <w:rPr>
                <w:rFonts w:hint="eastAsia"/>
                <w:b/>
                <w:szCs w:val="21"/>
              </w:rPr>
              <w:t xml:space="preserve">备</w:t>
            </w:r>
            <w:r>
              <w:rPr>
                <w:rFonts w:hint="eastAsia"/>
                <w:b/>
                <w:szCs w:val="21"/>
              </w:rPr>
              <w:t xml:space="preserve"> </w:t>
            </w:r>
            <w:r>
              <w:rPr>
                <w:rFonts w:hint="eastAsia"/>
                <w:b/>
                <w:szCs w:val="21"/>
              </w:rPr>
              <w:t xml:space="preserve">注</w:t>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1</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2</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3</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4</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5</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r>
        <w:trPr>
          <w:trHeight w:val="640"/>
        </w:trPr>
        <w:tc>
          <w:tcPr>
            <w:tcW w:w="490" w:type="pct"/>
            <w:vAlign w:val="center"/>
            <w:textDirection w:val="lrTb"/>
            <w:noWrap w:val="false"/>
          </w:tcPr>
          <w:p>
            <w:pPr>
              <w:contextualSpacing/>
              <w:jc w:val="center"/>
              <w:spacing w:line="400" w:lineRule="exact"/>
              <w:rPr>
                <w:szCs w:val="21"/>
              </w:rPr>
            </w:pPr>
            <w:r>
              <w:rPr>
                <w:rFonts w:hint="eastAsia"/>
                <w:szCs w:val="21"/>
              </w:rPr>
              <w:t xml:space="preserve">6</w:t>
            </w:r>
            <w:r/>
          </w:p>
        </w:tc>
        <w:tc>
          <w:tcPr>
            <w:tcW w:w="1270" w:type="pct"/>
            <w:vAlign w:val="center"/>
            <w:textDirection w:val="lrTb"/>
            <w:noWrap w:val="false"/>
          </w:tcPr>
          <w:p>
            <w:pPr>
              <w:contextualSpacing/>
              <w:jc w:val="center"/>
              <w:spacing w:line="400" w:lineRule="exact"/>
              <w:rPr>
                <w:szCs w:val="21"/>
              </w:rPr>
            </w:pPr>
            <w:r>
              <w:rPr>
                <w:szCs w:val="21"/>
              </w:rPr>
            </w:r>
            <w:r/>
          </w:p>
        </w:tc>
        <w:tc>
          <w:tcPr>
            <w:tcW w:w="486" w:type="pct"/>
            <w:vAlign w:val="center"/>
            <w:textDirection w:val="lrTb"/>
            <w:noWrap w:val="false"/>
          </w:tcPr>
          <w:p>
            <w:pPr>
              <w:jc w:val="center"/>
              <w:widowControl/>
              <w:rPr>
                <w:szCs w:val="21"/>
              </w:rPr>
            </w:pPr>
            <w:r>
              <w:rPr>
                <w:szCs w:val="21"/>
              </w:rPr>
            </w:r>
            <w:r/>
          </w:p>
        </w:tc>
        <w:tc>
          <w:tcPr>
            <w:tcW w:w="478" w:type="pct"/>
            <w:vAlign w:val="center"/>
            <w:textDirection w:val="lrTb"/>
            <w:noWrap w:val="false"/>
          </w:tcPr>
          <w:p>
            <w:pPr>
              <w:contextualSpacing/>
              <w:jc w:val="center"/>
              <w:spacing w:line="400" w:lineRule="exact"/>
              <w:rPr>
                <w:szCs w:val="21"/>
              </w:rPr>
            </w:pPr>
            <w:r>
              <w:rPr>
                <w:szCs w:val="21"/>
              </w:rPr>
            </w:r>
            <w:r/>
          </w:p>
        </w:tc>
        <w:tc>
          <w:tcPr>
            <w:tcW w:w="1056" w:type="pct"/>
            <w:textDirection w:val="lrTb"/>
            <w:noWrap w:val="false"/>
          </w:tcPr>
          <w:p>
            <w:pPr>
              <w:contextualSpacing/>
              <w:jc w:val="center"/>
              <w:spacing w:line="400" w:lineRule="exact"/>
              <w:rPr>
                <w:szCs w:val="21"/>
              </w:rPr>
            </w:pPr>
            <w:r>
              <w:rPr>
                <w:szCs w:val="21"/>
              </w:rPr>
            </w:r>
            <w:r/>
          </w:p>
        </w:tc>
        <w:tc>
          <w:tcPr>
            <w:tcW w:w="1219" w:type="pct"/>
            <w:vAlign w:val="center"/>
            <w:textDirection w:val="lrTb"/>
            <w:noWrap w:val="false"/>
          </w:tcPr>
          <w:p>
            <w:pPr>
              <w:contextualSpacing/>
              <w:jc w:val="center"/>
              <w:spacing w:line="400" w:lineRule="exact"/>
              <w:rPr>
                <w:szCs w:val="21"/>
              </w:rPr>
            </w:pPr>
            <w:r>
              <w:rPr>
                <w:szCs w:val="21"/>
              </w:rPr>
            </w:r>
            <w:r/>
          </w:p>
        </w:tc>
      </w:tr>
    </w:tbl>
    <w:p>
      <w:pPr>
        <w:jc w:val="left"/>
        <w:spacing w:line="360" w:lineRule="auto"/>
        <w:widowControl/>
        <w:rPr>
          <w:rFonts w:ascii="宋体" w:hAnsi="宋体" w:cs="Arial"/>
          <w:b/>
          <w:bCs/>
        </w:rPr>
      </w:pPr>
      <w:r>
        <w:rPr>
          <w:rFonts w:ascii="宋体" w:hAnsi="宋体" w:cs="Arial"/>
          <w:b/>
          <w:bCs/>
        </w:rPr>
      </w:r>
      <w:r/>
    </w:p>
    <w:p>
      <w:pPr>
        <w:ind w:firstLine="422"/>
        <w:spacing w:line="560" w:lineRule="atLeast"/>
        <w:rPr>
          <w:rFonts w:ascii="宋体" w:hAnsi="宋体" w:cs="宋体"/>
          <w:b/>
          <w:bCs/>
          <w:szCs w:val="21"/>
        </w:rPr>
      </w:pPr>
      <w:r>
        <w:rPr>
          <w:rFonts w:hint="eastAsia" w:ascii="宋体" w:hAnsi="宋体" w:cs="宋体"/>
          <w:b/>
          <w:bCs/>
          <w:szCs w:val="21"/>
        </w:rPr>
        <w:t xml:space="preserve">注：</w:t>
      </w:r>
      <w:r/>
    </w:p>
    <w:p>
      <w:pPr>
        <w:numPr>
          <w:ilvl w:val="0"/>
          <w:numId w:val="11"/>
        </w:numPr>
        <w:ind w:firstLine="420"/>
        <w:spacing w:line="360" w:lineRule="auto"/>
        <w:rPr>
          <w:rFonts w:ascii="宋体" w:hAnsi="宋体" w:cs="宋体"/>
          <w:iCs/>
          <w:szCs w:val="21"/>
          <w:lang w:bidi="mn-Mong-CN"/>
        </w:rPr>
      </w:pPr>
      <w:r>
        <w:rPr>
          <w:rFonts w:hint="eastAsia" w:ascii="宋体" w:hAnsi="宋体" w:cs="宋体"/>
          <w:iCs/>
          <w:szCs w:val="21"/>
          <w:lang w:bidi="mn-Mong-CN"/>
        </w:rPr>
        <w:t xml:space="preserve">投标人自行考虑的其他费用如行数不够，可自行添加。</w:t>
      </w:r>
      <w:r/>
    </w:p>
    <w:p>
      <w:pPr>
        <w:jc w:val="left"/>
        <w:spacing w:line="360" w:lineRule="auto"/>
        <w:widowControl/>
        <w:rPr>
          <w:rFonts w:ascii="宋体" w:hAnsi="宋体" w:cs="宋体"/>
        </w:rPr>
      </w:pPr>
      <w:r>
        <w:rPr>
          <w:rFonts w:hint="eastAsia" w:ascii="宋体" w:hAnsi="宋体" w:cs="宋体"/>
        </w:rPr>
        <w:t xml:space="preserve">  </w:t>
      </w:r>
      <w:r/>
    </w:p>
    <w:p>
      <w:pPr>
        <w:pStyle w:val="750"/>
      </w:pPr>
      <w:r/>
      <w:r/>
    </w:p>
    <w:p>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44"/>
        <w:spacing w:line="360" w:lineRule="auto"/>
        <w:rPr>
          <w:rFonts w:asciiTheme="minorEastAsia" w:hAnsiTheme="minorEastAsia" w:eastAsiaTheme="minorEastAsia"/>
          <w:sz w:val="32"/>
        </w:rPr>
      </w:pPr>
      <w:r/>
      <w:bookmarkStart w:id="72" w:name="_Toc191970200"/>
      <w:r>
        <w:rPr>
          <w:rFonts w:hint="eastAsia" w:asciiTheme="minorEastAsia" w:hAnsiTheme="minorEastAsia" w:eastAsiaTheme="minorEastAsia"/>
          <w:sz w:val="32"/>
        </w:rPr>
        <w:t xml:space="preserve">六、技术参数响应及偏离表</w:t>
      </w:r>
      <w:bookmarkEnd w:id="72"/>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44"/>
        <w:spacing w:line="360" w:lineRule="auto"/>
        <w:rPr>
          <w:rFonts w:asciiTheme="minorEastAsia" w:hAnsiTheme="minorEastAsia" w:eastAsiaTheme="minorEastAsia"/>
          <w:sz w:val="32"/>
        </w:rPr>
      </w:pPr>
      <w:r/>
      <w:bookmarkStart w:id="73" w:name="_Hlt26955054"/>
      <w:r/>
      <w:bookmarkStart w:id="74" w:name="_Toc191970201"/>
      <w:r/>
      <w:bookmarkEnd w:id="73"/>
      <w:r>
        <w:rPr>
          <w:rFonts w:hint="eastAsia" w:asciiTheme="minorEastAsia" w:hAnsiTheme="minorEastAsia" w:eastAsiaTheme="minorEastAsia"/>
          <w:sz w:val="32"/>
        </w:rPr>
        <w:t xml:space="preserve">七、商务条款响应及偏离表</w:t>
      </w:r>
      <w:bookmarkEnd w:id="74"/>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5" w:name="_Hlt26782999"/>
            <w:r/>
            <w:bookmarkStart w:id="76" w:name="_Hlt26671343"/>
            <w:r/>
            <w:bookmarkStart w:id="77" w:name="_Hlt26671372"/>
            <w:r/>
            <w:bookmarkStart w:id="78" w:name="_Hlt26955064"/>
            <w:r/>
            <w:bookmarkStart w:id="79" w:name="_Hlt26609391"/>
            <w:r/>
            <w:bookmarkStart w:id="80" w:name="_Hlt26955056"/>
            <w:r/>
            <w:bookmarkStart w:id="81" w:name="_Hlt24879081"/>
            <w:r/>
            <w:bookmarkStart w:id="82" w:name="_Hlt26580838"/>
            <w:r/>
            <w:bookmarkEnd w:id="75"/>
            <w:r/>
            <w:bookmarkEnd w:id="76"/>
            <w:r/>
            <w:bookmarkEnd w:id="77"/>
            <w:r/>
            <w:bookmarkEnd w:id="78"/>
            <w:r/>
            <w:bookmarkEnd w:id="79"/>
            <w:r/>
            <w:bookmarkEnd w:id="80"/>
            <w:r/>
            <w:bookmarkEnd w:id="81"/>
            <w:r/>
            <w:bookmarkEnd w:id="82"/>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szCs w:val="21"/>
              </w:rPr>
            </w:pPr>
            <w:r>
              <w:rPr>
                <w:rFonts w:ascii="仿宋_GB2312" w:hAnsi="宋体"/>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52"/>
        <w:ind w:firstLine="480"/>
        <w:spacing w:line="360" w:lineRule="auto"/>
        <w:rPr>
          <w:rFonts w:ascii="宋体" w:hAnsi="宋体"/>
          <w:sz w:val="24"/>
        </w:rPr>
      </w:pPr>
      <w:r/>
      <w:bookmarkStart w:id="83" w:name="_Hlt26671374"/>
      <w:r/>
      <w:bookmarkStart w:id="84" w:name="_Hlt26609389"/>
      <w:r/>
      <w:bookmarkStart w:id="85" w:name="_Hlt26955066"/>
      <w:r/>
      <w:bookmarkStart w:id="86" w:name="_Toc462564146"/>
      <w:r/>
      <w:bookmarkEnd w:id="83"/>
      <w:r/>
      <w:bookmarkEnd w:id="84"/>
      <w:r/>
      <w:bookmarkEnd w:id="85"/>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pStyle w:val="752"/>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7" w:name="_格式2__法定代表人授权书"/>
      <w:r/>
      <w:bookmarkEnd w:id="86"/>
      <w:r/>
      <w:bookmarkEnd w:id="87"/>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2553970</wp:posOffset>
              </wp:positionH>
              <wp:positionV relativeFrom="paragraph">
                <wp:posOffset>0</wp:posOffset>
              </wp:positionV>
              <wp:extent cx="182880"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 cy="198120"/>
                      </a:xfrm>
                      <a:prstGeom prst="rect">
                        <a:avLst/>
                      </a:prstGeom>
                      <a:noFill/>
                      <a:ln w="6350">
                        <a:noFill/>
                      </a:ln>
                    </wps:spPr>
                    <wps:txbx>
                      <w:txbxContent>
                        <w:p>
                          <w:pPr>
                            <w:pStyle w:val="760"/>
                            <w:jc w:val="center"/>
                          </w:pPr>
                          <w:fldSimple w:instr="PAGE \* MERGEFORMAT">
                            <w:r>
                              <w:t xml:space="preserve">1</w:t>
                            </w:r>
                          </w:fldSimple>
                          <w:r/>
                          <w:r/>
                        </w:p>
                        <w:p>
                          <w:pPr>
                            <w:jc w:val="center"/>
                          </w:p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1.1pt;mso-position-horizontal:absolute;mso-position-vertical-relative:text;margin-top:0.0pt;mso-position-vertical:absolute;width:14.4pt;height:15.6pt;mso-wrap-distance-left:9.0pt;mso-wrap-distance-top:0.0pt;mso-wrap-distance-right:9.0pt;mso-wrap-distance-bottom:0.0pt;visibility:visible;" filled="f" stroked="f" strokeweight="0.50pt">
              <v:textbox inset="0,0,0,0">
                <w:txbxContent>
                  <w:p>
                    <w:pPr>
                      <w:pStyle w:val="760"/>
                      <w:jc w:val="center"/>
                    </w:pPr>
                    <w:fldSimple w:instr="PAGE \* MERGEFORMAT">
                      <w:r>
                        <w:t xml:space="preserve">1</w:t>
                      </w:r>
                    </w:fldSimple>
                    <w:r/>
                    <w:r/>
                  </w:p>
                  <w:p>
                    <w:pPr>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both"/>
    </w:pPr>
    <w:r>
      <w:rPr>
        <w:rFonts w:hint="eastAsia"/>
      </w:rPr>
      <w:t xml:space="preserve">JSZC-321000-HCZX-G2025-0097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lef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rFonts w:hint="eastAsia"/>
      </w:rPr>
      <w:t xml:space="preserve">JSZC-321000-HCZX-G2025-0097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85"/>
      <w:isLgl w:val="false"/>
      <w:suff w:val="nothing"/>
      <w:lvlText w:val="%1."/>
      <w:lvlJc w:val="left"/>
      <w:pPr>
        <w:ind w:left="392" w:firstLine="0"/>
      </w:pPr>
      <w:rPr>
        <w:rFonts w:hint="eastAsia" w:ascii="Calibri" w:hAnsi="Calibri" w:eastAsia="宋体" w:cs="Calibri"/>
        <w:b/>
        <w:bCs/>
        <w:i w:val="0"/>
        <w:iCs w:val="0"/>
        <w:caps w:val="0"/>
        <w:smallCaps w:val="0"/>
        <w:strike w:val="0"/>
        <w:spacing w:val="0"/>
        <w:position w:val="0"/>
        <w:highlight w:val="none"/>
        <w:vertAlign w:val="baseline"/>
      </w:rPr>
    </w:lvl>
    <w:lvl w:ilvl="1">
      <w:start w:val="1"/>
      <w:numFmt w:val="decimal"/>
      <w:isLgl w:val="false"/>
      <w:suff w:val="nothing"/>
      <w:lvlText w:val="%1.%2."/>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2">
      <w:start w:val="1"/>
      <w:numFmt w:val="decimal"/>
      <w:isLgl w:val="false"/>
      <w:suff w:val="nothing"/>
      <w:lvlText w:val="%1.%2.%3."/>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3">
      <w:start w:val="1"/>
      <w:numFmt w:val="decimal"/>
      <w:isLgl w:val="false"/>
      <w:suff w:val="nothing"/>
      <w:lvlText w:val="%1.%2.%3.%4."/>
      <w:lvlJc w:val="left"/>
      <w:pPr>
        <w:ind w:left="984" w:hanging="592"/>
      </w:pPr>
      <w:rPr>
        <w:rFonts w:hint="eastAsia" w:ascii="Calibri" w:hAnsi="Calibri" w:eastAsia="宋体" w:cs="Calibri"/>
        <w:b/>
        <w:bCs/>
        <w:i w:val="0"/>
        <w:iCs w:val="0"/>
        <w:caps w:val="0"/>
        <w:smallCaps w:val="0"/>
        <w:strike w:val="0"/>
        <w:spacing w:val="0"/>
        <w:position w:val="0"/>
        <w:highlight w:val="none"/>
        <w:vertAlign w:val="baseline"/>
      </w:rPr>
    </w:lvl>
    <w:lvl w:ilvl="4">
      <w:start w:val="1"/>
      <w:numFmt w:val="decimal"/>
      <w:isLgl w:val="false"/>
      <w:suff w:val="nothing"/>
      <w:lvlText w:val="%1.%2.%3.%4.%5."/>
      <w:lvlJc w:val="left"/>
      <w:pPr>
        <w:ind w:left="1814" w:hanging="1422"/>
      </w:pPr>
      <w:rPr>
        <w:rFonts w:hint="eastAsia" w:ascii="Calibri" w:hAnsi="Calibri" w:eastAsia="宋体" w:cs="Calibri"/>
        <w:b/>
        <w:bCs/>
        <w:i w:val="0"/>
        <w:iCs w:val="0"/>
        <w:caps w:val="0"/>
        <w:smallCaps w:val="0"/>
        <w:strike w:val="0"/>
        <w:spacing w:val="0"/>
        <w:position w:val="0"/>
        <w:highlight w:val="none"/>
        <w:vertAlign w:val="baseline"/>
      </w:rPr>
    </w:lvl>
    <w:lvl w:ilvl="5">
      <w:start w:val="1"/>
      <w:numFmt w:val="decimal"/>
      <w:isLgl w:val="false"/>
      <w:suff w:val="nothing"/>
      <w:lvlText w:val="%1.%2.%3.%4.%5.%6."/>
      <w:lvlJc w:val="left"/>
      <w:pPr>
        <w:ind w:left="1958" w:hanging="1566"/>
      </w:pPr>
      <w:rPr>
        <w:rFonts w:hint="eastAsia" w:ascii="Calibri" w:hAnsi="Calibri" w:eastAsia="宋体" w:cs="Calibri"/>
        <w:b/>
        <w:bCs/>
        <w:i w:val="0"/>
        <w:iCs w:val="0"/>
        <w:caps w:val="0"/>
        <w:smallCaps w:val="0"/>
        <w:strike w:val="0"/>
        <w:spacing w:val="0"/>
        <w:position w:val="0"/>
        <w:highlight w:val="none"/>
        <w:vertAlign w:val="baseline"/>
      </w:rPr>
    </w:lvl>
    <w:lvl w:ilvl="6">
      <w:start w:val="1"/>
      <w:numFmt w:val="decimal"/>
      <w:isLgl w:val="false"/>
      <w:suff w:val="nothing"/>
      <w:lvlText w:val="%1.%2.%3.%4.%5.%6.%7."/>
      <w:lvlJc w:val="left"/>
      <w:pPr>
        <w:ind w:left="2102" w:hanging="1710"/>
      </w:pPr>
      <w:rPr>
        <w:rFonts w:hint="eastAsia" w:ascii="Calibri" w:hAnsi="Calibri" w:eastAsia="宋体" w:cs="Calibri"/>
        <w:b/>
        <w:bCs/>
        <w:i w:val="0"/>
        <w:iCs w:val="0"/>
        <w:caps w:val="0"/>
        <w:smallCaps w:val="0"/>
        <w:strike w:val="0"/>
        <w:spacing w:val="0"/>
        <w:position w:val="0"/>
        <w:highlight w:val="none"/>
        <w:vertAlign w:val="baseline"/>
      </w:rPr>
    </w:lvl>
    <w:lvl w:ilvl="7">
      <w:start w:val="1"/>
      <w:numFmt w:val="decimal"/>
      <w:isLgl w:val="false"/>
      <w:suff w:val="nothing"/>
      <w:lvlText w:val="%1.%2.%3.%4.%5.%6.%7.%8."/>
      <w:lvlJc w:val="left"/>
      <w:pPr>
        <w:ind w:left="2246" w:hanging="1854"/>
      </w:pPr>
      <w:rPr>
        <w:rFonts w:hint="eastAsia" w:ascii="Calibri" w:hAnsi="Calibri" w:eastAsia="宋体" w:cs="Calibri"/>
        <w:b/>
        <w:bCs/>
        <w:i w:val="0"/>
        <w:iCs w:val="0"/>
        <w:caps w:val="0"/>
        <w:smallCaps w:val="0"/>
        <w:strike w:val="0"/>
        <w:spacing w:val="0"/>
        <w:position w:val="0"/>
        <w:highlight w:val="none"/>
        <w:vertAlign w:val="baseline"/>
      </w:rPr>
    </w:lvl>
    <w:lvl w:ilvl="8">
      <w:start w:val="1"/>
      <w:numFmt w:val="decimal"/>
      <w:isLgl w:val="false"/>
      <w:suff w:val="nothing"/>
      <w:lvlText w:val="%1.%2.%3.%4.%5.%6.%7.%8.%9."/>
      <w:lvlJc w:val="left"/>
      <w:pPr>
        <w:ind w:left="2390" w:hanging="1998"/>
      </w:pPr>
      <w:rPr>
        <w:rFonts w:hint="eastAsia" w:ascii="Calibri" w:hAnsi="Calibri" w:eastAsia="宋体" w:cs="Calibri"/>
        <w:b/>
        <w:bCs/>
        <w:i w:val="0"/>
        <w:iCs w:val="0"/>
        <w:caps w:val="0"/>
        <w:smallCaps w:val="0"/>
        <w:strike w:val="0"/>
        <w:spacing w:val="0"/>
        <w:position w:val="0"/>
        <w:highlight w:val="none"/>
        <w:vertAlign w:val="baseline"/>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7"/>
  </w:num>
  <w:num w:numId="2">
    <w:abstractNumId w:val="4"/>
  </w:num>
  <w:num w:numId="3">
    <w:abstractNumId w:val="5"/>
  </w:num>
  <w:num w:numId="4">
    <w:abstractNumId w:val="3"/>
  </w:num>
  <w:num w:numId="5">
    <w:abstractNumId w:val="1"/>
  </w:num>
  <w:num w:numId="6">
    <w:abstractNumId w:val="6"/>
  </w:num>
  <w:num w:numId="7">
    <w:abstractNumId w:val="2"/>
  </w:num>
  <w:num w:numId="8">
    <w:abstractNumId w:val="10"/>
    <w:lvlOverride w:ilvl="0">
      <w:startOverride w:val="1"/>
    </w:lvlOverride>
  </w:num>
  <w:num w:numId="9">
    <w:abstractNumId w:val="8"/>
    <w:lvlOverride w:ilvl="0">
      <w:startOverride w:val="1"/>
    </w:lvlOverride>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7"/>
    <w:link w:val="743"/>
    <w:uiPriority w:val="9"/>
    <w:rPr>
      <w:rFonts w:ascii="Arial" w:hAnsi="Arial" w:eastAsia="Arial" w:cs="Arial"/>
      <w:sz w:val="40"/>
      <w:szCs w:val="40"/>
    </w:rPr>
  </w:style>
  <w:style w:type="character" w:styleId="15">
    <w:name w:val="Heading 2 Char"/>
    <w:basedOn w:val="747"/>
    <w:link w:val="744"/>
    <w:uiPriority w:val="9"/>
    <w:rPr>
      <w:rFonts w:ascii="Arial" w:hAnsi="Arial" w:eastAsia="Arial" w:cs="Arial"/>
      <w:sz w:val="34"/>
    </w:rPr>
  </w:style>
  <w:style w:type="character" w:styleId="17">
    <w:name w:val="Heading 3 Char"/>
    <w:basedOn w:val="747"/>
    <w:link w:val="745"/>
    <w:uiPriority w:val="9"/>
    <w:rPr>
      <w:rFonts w:ascii="Arial" w:hAnsi="Arial" w:eastAsia="Arial" w:cs="Arial"/>
      <w:sz w:val="30"/>
      <w:szCs w:val="30"/>
    </w:rPr>
  </w:style>
  <w:style w:type="character" w:styleId="19">
    <w:name w:val="Heading 4 Char"/>
    <w:basedOn w:val="747"/>
    <w:link w:val="746"/>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7"/>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7"/>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7"/>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7"/>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747"/>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747"/>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7"/>
    <w:link w:val="761"/>
    <w:uiPriority w:val="99"/>
  </w:style>
  <w:style w:type="character" w:styleId="44">
    <w:name w:val="Footer Char"/>
    <w:basedOn w:val="747"/>
    <w:link w:val="760"/>
    <w:uiPriority w:val="99"/>
  </w:style>
  <w:style w:type="character" w:styleId="46">
    <w:name w:val="Caption Char"/>
    <w:basedOn w:val="753"/>
    <w:link w:val="760"/>
    <w:uiPriority w:val="99"/>
  </w:style>
  <w:style w:type="table" w:styleId="48">
    <w:name w:val="Table Grid Light"/>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7"/>
    <w:uiPriority w:val="99"/>
    <w:unhideWhenUsed/>
    <w:rPr>
      <w:vertAlign w:val="superscript"/>
    </w:rPr>
  </w:style>
  <w:style w:type="character" w:styleId="179">
    <w:name w:val="endnote reference"/>
    <w:basedOn w:val="747"/>
    <w:uiPriority w:val="99"/>
    <w:semiHidden/>
    <w:unhideWhenUsed/>
    <w:rPr>
      <w:vertAlign w:val="superscript"/>
    </w:r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50"/>
    <w:qFormat/>
    <w:pPr>
      <w:jc w:val="both"/>
      <w:widowControl w:val="off"/>
    </w:pPr>
    <w:rPr>
      <w:rFonts w:ascii="Calibri" w:hAnsi="Calibri"/>
      <w:sz w:val="21"/>
      <w:szCs w:val="22"/>
    </w:rPr>
  </w:style>
  <w:style w:type="paragraph" w:styleId="743">
    <w:name w:val="Heading 1"/>
    <w:basedOn w:val="742"/>
    <w:next w:val="742"/>
    <w:link w:val="801"/>
    <w:uiPriority w:val="9"/>
    <w:qFormat/>
    <w:pPr>
      <w:keepLines/>
      <w:keepNext/>
      <w:spacing w:before="340" w:after="330" w:line="578" w:lineRule="auto"/>
      <w:outlineLvl w:val="0"/>
    </w:pPr>
    <w:rPr>
      <w:b/>
      <w:bCs/>
      <w:sz w:val="44"/>
      <w:szCs w:val="44"/>
    </w:rPr>
  </w:style>
  <w:style w:type="paragraph" w:styleId="744">
    <w:name w:val="Heading 2"/>
    <w:basedOn w:val="742"/>
    <w:next w:val="742"/>
    <w:qFormat/>
    <w:pPr>
      <w:jc w:val="center"/>
      <w:keepLines/>
      <w:keepNext/>
      <w:spacing w:before="260" w:after="260" w:line="416" w:lineRule="auto"/>
      <w:outlineLvl w:val="1"/>
    </w:pPr>
    <w:rPr>
      <w:rFonts w:ascii="Arial" w:hAnsi="Arial" w:eastAsia="幼圆" w:cs="Arial"/>
      <w:b/>
      <w:bCs/>
      <w:sz w:val="44"/>
      <w:szCs w:val="44"/>
    </w:rPr>
  </w:style>
  <w:style w:type="paragraph" w:styleId="745">
    <w:name w:val="Heading 3"/>
    <w:basedOn w:val="742"/>
    <w:next w:val="742"/>
    <w:qFormat/>
    <w:pPr>
      <w:keepLines/>
      <w:keepNext/>
      <w:spacing w:before="260" w:after="260" w:line="416" w:lineRule="auto"/>
      <w:outlineLvl w:val="2"/>
    </w:pPr>
    <w:rPr>
      <w:b/>
      <w:bCs/>
      <w:sz w:val="32"/>
      <w:szCs w:val="32"/>
    </w:rPr>
  </w:style>
  <w:style w:type="paragraph" w:styleId="746">
    <w:name w:val="Heading 4"/>
    <w:basedOn w:val="742"/>
    <w:next w:val="742"/>
    <w:link w:val="771"/>
    <w:unhideWhenUsed/>
    <w:qFormat/>
    <w:pPr>
      <w:ind w:firstLine="420"/>
      <w:keepLines/>
      <w:keepNext/>
      <w:spacing w:line="360" w:lineRule="auto"/>
      <w:outlineLvl w:val="3"/>
    </w:pPr>
    <w:rPr>
      <w:rFonts w:ascii="宋体" w:hAnsi="宋体"/>
      <w:color w:val="ff0000"/>
      <w:szCs w:val="21"/>
    </w:rPr>
  </w:style>
  <w:style w:type="character" w:styleId="747" w:default="1">
    <w:name w:val="Default Paragraph Font"/>
    <w:uiPriority w:val="1"/>
    <w:semiHidden/>
    <w:unhideWhenUsed/>
  </w:style>
  <w:style w:type="table" w:styleId="748" w:default="1">
    <w:name w:val="Normal Table"/>
    <w:uiPriority w:val="99"/>
    <w:semiHidden/>
    <w:unhideWhenUsed/>
    <w:qFormat/>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Body Text Indent"/>
    <w:basedOn w:val="742"/>
    <w:next w:val="742"/>
    <w:qFormat/>
    <w:pPr>
      <w:ind w:left="420"/>
      <w:spacing w:after="120"/>
    </w:pPr>
    <w:rPr>
      <w:sz w:val="20"/>
      <w:szCs w:val="24"/>
    </w:rPr>
  </w:style>
  <w:style w:type="paragraph" w:styleId="751">
    <w:name w:val="table of authorities"/>
    <w:basedOn w:val="742"/>
    <w:next w:val="742"/>
    <w:qFormat/>
    <w:pPr>
      <w:ind w:left="420" w:firstLine="200"/>
      <w:spacing w:line="360" w:lineRule="auto"/>
    </w:pPr>
    <w:rPr>
      <w:rFonts w:ascii="Times New Roman" w:hAnsi="Times New Roman"/>
      <w:sz w:val="24"/>
      <w:szCs w:val="24"/>
    </w:rPr>
  </w:style>
  <w:style w:type="paragraph" w:styleId="752">
    <w:name w:val="Normal Indent"/>
    <w:basedOn w:val="742"/>
    <w:unhideWhenUsed/>
    <w:qFormat/>
    <w:pPr>
      <w:ind w:firstLine="420"/>
    </w:pPr>
  </w:style>
  <w:style w:type="paragraph" w:styleId="753">
    <w:name w:val="Caption"/>
    <w:basedOn w:val="742"/>
    <w:next w:val="742"/>
    <w:uiPriority w:val="35"/>
    <w:semiHidden/>
    <w:unhideWhenUsed/>
    <w:qFormat/>
    <w:pPr>
      <w:spacing w:line="276" w:lineRule="auto"/>
    </w:pPr>
    <w:rPr>
      <w:b/>
      <w:bCs/>
      <w:color w:val="5b9bd5" w:themeColor="accent1"/>
      <w:sz w:val="18"/>
      <w:szCs w:val="18"/>
    </w:rPr>
  </w:style>
  <w:style w:type="paragraph" w:styleId="754">
    <w:name w:val="annotation text"/>
    <w:basedOn w:val="742"/>
    <w:link w:val="798"/>
    <w:qFormat/>
    <w:pPr>
      <w:jc w:val="left"/>
    </w:pPr>
  </w:style>
  <w:style w:type="paragraph" w:styleId="755">
    <w:name w:val="Body Text"/>
    <w:basedOn w:val="742"/>
    <w:link w:val="789"/>
    <w:qFormat/>
    <w:rPr>
      <w:rFonts w:ascii="楷体_GB2312" w:hAnsi="Arial" w:eastAsia="楷体_GB2312"/>
      <w:sz w:val="28"/>
      <w:szCs w:val="28"/>
    </w:rPr>
  </w:style>
  <w:style w:type="paragraph" w:styleId="756">
    <w:name w:val="List Bullet 2"/>
    <w:basedOn w:val="742"/>
    <w:qFormat/>
    <w:pPr>
      <w:numPr>
        <w:numId w:val="1"/>
      </w:numPr>
    </w:pPr>
  </w:style>
  <w:style w:type="paragraph" w:styleId="757">
    <w:name w:val="Plain Text"/>
    <w:basedOn w:val="742"/>
    <w:link w:val="800"/>
    <w:uiPriority w:val="99"/>
    <w:qFormat/>
    <w:rPr>
      <w:rFonts w:ascii="宋体" w:hAnsi="Courier New"/>
      <w:sz w:val="20"/>
      <w:szCs w:val="21"/>
    </w:rPr>
  </w:style>
  <w:style w:type="paragraph" w:styleId="758">
    <w:name w:val="endnote text"/>
    <w:basedOn w:val="742"/>
    <w:link w:val="787"/>
    <w:qFormat/>
    <w:pPr>
      <w:jc w:val="left"/>
    </w:pPr>
  </w:style>
  <w:style w:type="paragraph" w:styleId="759">
    <w:name w:val="Balloon Text"/>
    <w:basedOn w:val="742"/>
    <w:link w:val="774"/>
    <w:qFormat/>
    <w:rPr>
      <w:sz w:val="18"/>
      <w:szCs w:val="18"/>
    </w:rPr>
  </w:style>
  <w:style w:type="paragraph" w:styleId="760">
    <w:name w:val="Footer"/>
    <w:basedOn w:val="742"/>
    <w:unhideWhenUsed/>
    <w:qFormat/>
    <w:pPr>
      <w:jc w:val="left"/>
      <w:tabs>
        <w:tab w:val="center" w:pos="4153" w:leader="none"/>
        <w:tab w:val="right" w:pos="8306" w:leader="none"/>
      </w:tabs>
    </w:pPr>
    <w:rPr>
      <w:sz w:val="18"/>
      <w:szCs w:val="18"/>
    </w:rPr>
  </w:style>
  <w:style w:type="paragraph" w:styleId="761">
    <w:name w:val="Header"/>
    <w:basedOn w:val="742"/>
    <w:link w:val="797"/>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42"/>
    <w:next w:val="742"/>
    <w:uiPriority w:val="39"/>
    <w:unhideWhenUsed/>
    <w:qFormat/>
  </w:style>
  <w:style w:type="paragraph" w:styleId="763">
    <w:name w:val="toc 2"/>
    <w:basedOn w:val="742"/>
    <w:next w:val="742"/>
    <w:uiPriority w:val="39"/>
    <w:qFormat/>
    <w:pPr>
      <w:ind w:left="420"/>
    </w:pPr>
  </w:style>
  <w:style w:type="paragraph" w:styleId="764">
    <w:name w:val="Normal (Web)"/>
    <w:basedOn w:val="742"/>
    <w:qFormat/>
    <w:rPr>
      <w:rFonts w:ascii="Times New Roman" w:hAnsi="Times New Roman"/>
      <w:sz w:val="24"/>
    </w:rPr>
  </w:style>
  <w:style w:type="paragraph" w:styleId="765">
    <w:name w:val="annotation subject"/>
    <w:basedOn w:val="754"/>
    <w:next w:val="754"/>
    <w:link w:val="799"/>
    <w:qFormat/>
    <w:rPr>
      <w:b/>
      <w:bCs/>
    </w:rPr>
  </w:style>
  <w:style w:type="paragraph" w:styleId="766">
    <w:name w:val="Body Text First Indent"/>
    <w:basedOn w:val="755"/>
    <w:next w:val="742"/>
    <w:link w:val="790"/>
    <w:qFormat/>
    <w:pPr>
      <w:ind w:firstLine="420"/>
      <w:jc w:val="center"/>
      <w:spacing w:line="360" w:lineRule="auto"/>
    </w:pPr>
    <w:rPr>
      <w:rFonts w:ascii="宋体" w:hAnsi="宋体" w:eastAsia="宋体" w:cs="宋体"/>
      <w:sz w:val="21"/>
      <w:szCs w:val="21"/>
    </w:rPr>
  </w:style>
  <w:style w:type="table" w:styleId="767">
    <w:name w:val="Table Grid"/>
    <w:basedOn w:val="74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qFormat/>
    <w:rPr>
      <w:b/>
    </w:rPr>
  </w:style>
  <w:style w:type="character" w:styleId="769">
    <w:name w:val="Hyperlink"/>
    <w:basedOn w:val="747"/>
    <w:qFormat/>
    <w:rPr>
      <w:color w:val="0563c1" w:themeColor="hyperlink"/>
      <w:u w:val="single"/>
    </w:rPr>
  </w:style>
  <w:style w:type="character" w:styleId="770">
    <w:name w:val="annotation reference"/>
    <w:basedOn w:val="747"/>
    <w:qFormat/>
    <w:rPr>
      <w:sz w:val="21"/>
      <w:szCs w:val="21"/>
    </w:rPr>
  </w:style>
  <w:style w:type="character" w:styleId="771" w:customStyle="1">
    <w:name w:val="标题 4 Char"/>
    <w:basedOn w:val="747"/>
    <w:link w:val="746"/>
    <w:qFormat/>
    <w:rPr>
      <w:rFonts w:ascii="宋体" w:hAnsi="宋体"/>
      <w:color w:val="ff0000"/>
      <w:sz w:val="21"/>
      <w:szCs w:val="21"/>
    </w:rPr>
  </w:style>
  <w:style w:type="paragraph" w:styleId="772" w:customStyle="1">
    <w:name w:val="普通正文"/>
    <w:basedOn w:val="742"/>
    <w:uiPriority w:val="99"/>
    <w:qFormat/>
    <w:pPr>
      <w:ind w:firstLine="480"/>
      <w:jc w:val="left"/>
      <w:spacing w:before="120" w:after="120" w:line="360" w:lineRule="auto"/>
    </w:pPr>
    <w:rPr>
      <w:rFonts w:ascii="Arial" w:hAnsi="Arial"/>
      <w:sz w:val="24"/>
      <w:szCs w:val="24"/>
    </w:rPr>
  </w:style>
  <w:style w:type="paragraph" w:styleId="773" w:customStyle="1">
    <w:name w:val="Char"/>
    <w:basedOn w:val="742"/>
    <w:qFormat/>
    <w:pPr>
      <w:ind w:firstLine="200"/>
      <w:tabs>
        <w:tab w:val="left" w:pos="360" w:leader="none"/>
      </w:tabs>
    </w:pPr>
    <w:rPr>
      <w:rFonts w:ascii="Times New Roman" w:hAnsi="Times New Roman"/>
      <w:sz w:val="28"/>
      <w:szCs w:val="30"/>
    </w:rPr>
  </w:style>
  <w:style w:type="character" w:styleId="774" w:customStyle="1">
    <w:name w:val="批注框文本 Char"/>
    <w:basedOn w:val="747"/>
    <w:link w:val="759"/>
    <w:qFormat/>
    <w:rPr>
      <w:sz w:val="18"/>
      <w:szCs w:val="18"/>
    </w:rPr>
  </w:style>
  <w:style w:type="paragraph" w:styleId="775" w:customStyle="1">
    <w:name w:val="正文1"/>
    <w:basedOn w:val="742"/>
    <w:next w:val="776"/>
    <w:qFormat/>
    <w:pPr>
      <w:jc w:val="left"/>
      <w:spacing w:line="360" w:lineRule="atLeast"/>
    </w:pPr>
    <w:rPr>
      <w:rFonts w:ascii="宋体" w:hAnsiTheme="minorHAnsi" w:eastAsiaTheme="minorEastAsia" w:cstheme="minorBidi"/>
      <w:sz w:val="24"/>
      <w:szCs w:val="20"/>
    </w:rPr>
  </w:style>
  <w:style w:type="paragraph" w:styleId="776" w:customStyle="1">
    <w:name w:val="正文文本1"/>
    <w:basedOn w:val="775"/>
    <w:next w:val="777"/>
    <w:qFormat/>
    <w:pPr>
      <w:spacing w:after="120"/>
    </w:pPr>
    <w:rPr>
      <w:lang w:eastAsia="en-US"/>
    </w:rPr>
  </w:style>
  <w:style w:type="paragraph" w:styleId="777" w:customStyle="1">
    <w:name w:val="一级条标题"/>
    <w:basedOn w:val="778"/>
    <w:next w:val="779"/>
    <w:qFormat/>
    <w:pPr>
      <w:ind w:left="907" w:hanging="907"/>
      <w:spacing w:before="0" w:after="0"/>
      <w:tabs>
        <w:tab w:val="left" w:pos="907" w:leader="none"/>
      </w:tabs>
      <w:outlineLvl w:val="2"/>
    </w:pPr>
    <w:rPr>
      <w:rFonts w:hAnsi="宋体"/>
      <w:sz w:val="20"/>
      <w:szCs w:val="20"/>
    </w:rPr>
  </w:style>
  <w:style w:type="paragraph" w:styleId="778" w:customStyle="1">
    <w:name w:val="章标题"/>
    <w:next w:val="7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79" w:customStyle="1">
    <w:name w:val="段"/>
    <w:basedOn w:val="775"/>
    <w:next w:val="742"/>
    <w:qFormat/>
    <w:pPr>
      <w:ind w:firstLine="200"/>
      <w:widowControl/>
    </w:pPr>
    <w:rPr>
      <w:sz w:val="20"/>
    </w:rPr>
  </w:style>
  <w:style w:type="character" w:styleId="780" w:customStyle="1">
    <w:name w:val="NormalCharacter"/>
    <w:uiPriority w:val="99"/>
    <w:qFormat/>
    <w:rPr>
      <w:rFonts w:ascii="Calibri" w:hAnsi="Calibri" w:eastAsia="宋体" w:cs="Times New Roman"/>
      <w:sz w:val="21"/>
      <w:szCs w:val="22"/>
      <w:lang w:val="en-US" w:eastAsia="zh-CN" w:bidi="ar-SA"/>
    </w:rPr>
  </w:style>
  <w:style w:type="paragraph" w:styleId="781" w:customStyle="1">
    <w:name w:val="p0"/>
    <w:basedOn w:val="742"/>
    <w:qFormat/>
    <w:pPr>
      <w:widowControl/>
    </w:pPr>
    <w:rPr>
      <w:rFonts w:ascii="Times New Roman" w:hAnsi="Times New Roman"/>
      <w:szCs w:val="21"/>
    </w:rPr>
  </w:style>
  <w:style w:type="paragraph" w:styleId="782">
    <w:name w:val="List Paragraph"/>
    <w:basedOn w:val="742"/>
    <w:qFormat/>
    <w:pPr>
      <w:ind w:firstLine="420"/>
    </w:pPr>
  </w:style>
  <w:style w:type="paragraph" w:styleId="783" w:customStyle="1">
    <w:name w:val="Table Paragraph"/>
    <w:basedOn w:val="742"/>
    <w:uiPriority w:val="1"/>
    <w:qFormat/>
    <w:rPr>
      <w:rFonts w:ascii="Noto Sans CJK JP Regular" w:hAnsi="Noto Sans CJK JP Regular" w:eastAsia="Noto Sans CJK JP Regular" w:cs="Noto Sans CJK JP Regular"/>
      <w:lang w:eastAsia="en-US"/>
    </w:rPr>
  </w:style>
  <w:style w:type="paragraph" w:styleId="784" w:customStyle="1">
    <w:name w:val="纯文本1"/>
    <w:basedOn w:val="742"/>
    <w:qFormat/>
    <w:rPr>
      <w:rFonts w:ascii="宋体" w:hAnsi="Courier New" w:eastAsia="楷体_GB2312"/>
      <w:sz w:val="28"/>
      <w:szCs w:val="20"/>
    </w:rPr>
  </w:style>
  <w:style w:type="paragraph" w:styleId="785" w:customStyle="1">
    <w:name w:val="1级标题"/>
    <w:basedOn w:val="742"/>
    <w:next w:val="742"/>
    <w:qFormat/>
    <w:pPr>
      <w:numPr>
        <w:numId w:val="2"/>
      </w:numPr>
      <w:jc w:val="center"/>
      <w:spacing w:line="360" w:lineRule="auto"/>
    </w:pPr>
    <w:rPr>
      <w:b/>
      <w:sz w:val="36"/>
    </w:rPr>
  </w:style>
  <w:style w:type="paragraph" w:styleId="786" w:customStyle="1">
    <w:name w:val="修订1"/>
    <w:hidden/>
    <w:uiPriority w:val="99"/>
    <w:unhideWhenUsed/>
    <w:qFormat/>
    <w:rPr>
      <w:rFonts w:ascii="Calibri" w:hAnsi="Calibri"/>
      <w:sz w:val="21"/>
      <w:szCs w:val="22"/>
    </w:rPr>
  </w:style>
  <w:style w:type="character" w:styleId="787" w:customStyle="1">
    <w:name w:val="尾注文本 Char"/>
    <w:basedOn w:val="747"/>
    <w:link w:val="758"/>
    <w:qFormat/>
    <w:rPr>
      <w:rFonts w:ascii="Calibri" w:hAnsi="Calibri"/>
      <w:sz w:val="21"/>
      <w:szCs w:val="22"/>
    </w:rPr>
  </w:style>
  <w:style w:type="character" w:styleId="788" w:customStyle="1">
    <w:name w:val="Endnote Text Char"/>
    <w:uiPriority w:val="99"/>
    <w:qFormat/>
    <w:rPr>
      <w:sz w:val="20"/>
    </w:rPr>
  </w:style>
  <w:style w:type="character" w:styleId="789" w:customStyle="1">
    <w:name w:val="正文文本 Char"/>
    <w:basedOn w:val="747"/>
    <w:link w:val="755"/>
    <w:qFormat/>
    <w:rPr>
      <w:rFonts w:ascii="楷体_GB2312" w:hAnsi="Arial" w:eastAsia="楷体_GB2312"/>
      <w:sz w:val="28"/>
      <w:szCs w:val="28"/>
    </w:rPr>
  </w:style>
  <w:style w:type="character" w:styleId="790" w:customStyle="1">
    <w:name w:val="正文首行缩进 Char"/>
    <w:basedOn w:val="789"/>
    <w:link w:val="766"/>
    <w:qFormat/>
  </w:style>
  <w:style w:type="paragraph" w:styleId="791" w:customStyle="1">
    <w:name w:val="Default"/>
    <w:next w:val="742"/>
    <w:qFormat/>
    <w:pPr>
      <w:widowControl w:val="off"/>
    </w:pPr>
    <w:rPr>
      <w:rFonts w:ascii="宋体" w:cs="宋体"/>
      <w:color w:val="000000"/>
      <w:sz w:val="24"/>
      <w:szCs w:val="24"/>
    </w:rPr>
  </w:style>
  <w:style w:type="paragraph" w:styleId="792" w:customStyle="1">
    <w:name w:val="正文11"/>
    <w:next w:val="775"/>
    <w:qFormat/>
    <w:pPr>
      <w:jc w:val="both"/>
      <w:widowControl w:val="off"/>
    </w:pPr>
    <w:rPr>
      <w:sz w:val="21"/>
      <w:szCs w:val="22"/>
    </w:rPr>
  </w:style>
  <w:style w:type="paragraph" w:styleId="793" w:customStyle="1">
    <w:name w:val="正文首行缩进 21"/>
    <w:basedOn w:val="794"/>
    <w:next w:val="742"/>
    <w:qFormat/>
    <w:pPr>
      <w:ind w:firstLine="420"/>
      <w:spacing w:before="100" w:beforeAutospacing="1"/>
    </w:pPr>
    <w:rPr>
      <w:rFonts w:ascii="Times New Roman" w:hAnsi="Times New Roman"/>
      <w:sz w:val="20"/>
      <w:szCs w:val="21"/>
    </w:rPr>
  </w:style>
  <w:style w:type="paragraph" w:styleId="794" w:customStyle="1">
    <w:name w:val="正文文本缩进1"/>
    <w:basedOn w:val="742"/>
    <w:next w:val="742"/>
    <w:uiPriority w:val="99"/>
    <w:unhideWhenUsed/>
    <w:qFormat/>
    <w:pPr>
      <w:ind w:firstLine="540"/>
      <w:spacing w:line="400" w:lineRule="exact"/>
    </w:pPr>
    <w:rPr>
      <w:sz w:val="24"/>
    </w:rPr>
  </w:style>
  <w:style w:type="paragraph" w:styleId="795" w:customStyle="1">
    <w:name w:val="页眉1"/>
    <w:basedOn w:val="74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96" w:customStyle="1">
    <w:name w:val="页脚1"/>
    <w:basedOn w:val="742"/>
    <w:uiPriority w:val="99"/>
    <w:unhideWhenUsed/>
    <w:qFormat/>
    <w:pPr>
      <w:jc w:val="left"/>
      <w:tabs>
        <w:tab w:val="center" w:pos="4153" w:leader="none"/>
        <w:tab w:val="right" w:pos="8306" w:leader="none"/>
      </w:tabs>
    </w:pPr>
    <w:rPr>
      <w:sz w:val="18"/>
      <w:szCs w:val="18"/>
    </w:rPr>
  </w:style>
  <w:style w:type="character" w:styleId="797" w:customStyle="1">
    <w:name w:val="页眉 Char"/>
    <w:basedOn w:val="747"/>
    <w:link w:val="761"/>
    <w:qFormat/>
    <w:rPr>
      <w:rFonts w:ascii="Calibri" w:hAnsi="Calibri"/>
      <w:sz w:val="18"/>
      <w:szCs w:val="18"/>
    </w:rPr>
  </w:style>
  <w:style w:type="character" w:styleId="798" w:customStyle="1">
    <w:name w:val="批注文字 Char"/>
    <w:basedOn w:val="747"/>
    <w:link w:val="754"/>
    <w:qFormat/>
    <w:rPr>
      <w:rFonts w:ascii="Calibri" w:hAnsi="Calibri"/>
      <w:sz w:val="21"/>
      <w:szCs w:val="22"/>
    </w:rPr>
  </w:style>
  <w:style w:type="character" w:styleId="799" w:customStyle="1">
    <w:name w:val="批注主题 Char"/>
    <w:basedOn w:val="798"/>
    <w:link w:val="765"/>
    <w:qFormat/>
  </w:style>
  <w:style w:type="character" w:styleId="800" w:customStyle="1">
    <w:name w:val="纯文本 Char"/>
    <w:link w:val="757"/>
    <w:uiPriority w:val="99"/>
    <w:qFormat/>
    <w:rPr>
      <w:rFonts w:ascii="宋体" w:hAnsi="Courier New"/>
      <w:szCs w:val="21"/>
    </w:rPr>
  </w:style>
  <w:style w:type="character" w:styleId="801" w:customStyle="1">
    <w:name w:val="标题 1 Char"/>
    <w:link w:val="743"/>
    <w:uiPriority w:val="9"/>
    <w:qFormat/>
    <w:rPr>
      <w:rFonts w:ascii="Calibri" w:hAnsi="Calibri"/>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85CDB8-5F77-47A1-B7E6-E253076070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21</cp:revision>
  <dcterms:created xsi:type="dcterms:W3CDTF">2025-06-09T09:47:00Z</dcterms:created>
  <dcterms:modified xsi:type="dcterms:W3CDTF">2025-11-20T02:41:56Z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7F06BA4EC9DC4855946A9012A6582997_13</vt:lpwstr>
  </property>
  <property fmtid="{D5CDD505-2E9C-101B-9397-08002B2CF9AE}" pid="4" name="KSOTemplateDocerSaveRecord">
    <vt:lpwstr>eyJoZGlkIjoiZGUxNzZiMzg3NWUzNDBmZjczYmU1NTQzZjgxMTgwMzgiLCJ1c2VySWQiOiIxOTQwMTMifQ==</vt:lpwstr>
  </property>
</Properties>
</file>